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F2B39" w14:textId="7E4F8AB4" w:rsidR="07901255" w:rsidRPr="005F6A36" w:rsidRDefault="002C78EA" w:rsidP="07901255">
      <w:pPr>
        <w:rPr>
          <w:sz w:val="21"/>
          <w:szCs w:val="21"/>
        </w:rPr>
      </w:pPr>
      <w:r w:rsidRPr="005F6A36">
        <w:rPr>
          <w:noProof/>
        </w:rPr>
        <mc:AlternateContent>
          <mc:Choice Requires="wps">
            <w:drawing>
              <wp:anchor distT="0" distB="0" distL="114300" distR="114300" simplePos="0" relativeHeight="251658241" behindDoc="0" locked="0" layoutInCell="1" allowOverlap="1" wp14:anchorId="113B73A7" wp14:editId="4FD49D3C">
                <wp:simplePos x="0" y="0"/>
                <wp:positionH relativeFrom="column">
                  <wp:posOffset>3971925</wp:posOffset>
                </wp:positionH>
                <wp:positionV relativeFrom="paragraph">
                  <wp:posOffset>1139825</wp:posOffset>
                </wp:positionV>
                <wp:extent cx="2438400" cy="2286000"/>
                <wp:effectExtent l="0" t="0" r="19050" b="19050"/>
                <wp:wrapNone/>
                <wp:docPr id="1931961418" name="Text Box 2"/>
                <wp:cNvGraphicFramePr/>
                <a:graphic xmlns:a="http://schemas.openxmlformats.org/drawingml/2006/main">
                  <a:graphicData uri="http://schemas.microsoft.com/office/word/2010/wordprocessingShape">
                    <wps:wsp>
                      <wps:cNvSpPr txBox="1"/>
                      <wps:spPr>
                        <a:xfrm>
                          <a:off x="0" y="0"/>
                          <a:ext cx="2438400" cy="2286000"/>
                        </a:xfrm>
                        <a:prstGeom prst="rect">
                          <a:avLst/>
                        </a:prstGeom>
                        <a:solidFill>
                          <a:schemeClr val="lt1"/>
                        </a:solidFill>
                        <a:ln w="6350">
                          <a:solidFill>
                            <a:prstClr val="black"/>
                          </a:solidFill>
                        </a:ln>
                      </wps:spPr>
                      <wps:txbx>
                        <w:txbxContent>
                          <w:p w14:paraId="04058161" w14:textId="77777777" w:rsidR="00A17C90" w:rsidRDefault="00A17C90">
                            <w:pPr>
                              <w:rPr>
                                <w:rFonts w:asciiTheme="majorHAnsi" w:hAnsiTheme="majorHAnsi" w:cstheme="majorHAnsi"/>
                                <w:sz w:val="60"/>
                                <w:szCs w:val="60"/>
                              </w:rPr>
                            </w:pPr>
                            <w:r>
                              <w:rPr>
                                <w:rFonts w:asciiTheme="majorHAnsi" w:hAnsiTheme="majorHAnsi" w:cstheme="majorHAnsi"/>
                                <w:sz w:val="60"/>
                                <w:szCs w:val="60"/>
                              </w:rPr>
                              <w:t>Procurement Policy (draft)</w:t>
                            </w:r>
                          </w:p>
                          <w:p w14:paraId="624122DA" w14:textId="77777777" w:rsidR="007118DA" w:rsidRDefault="007118DA">
                            <w:pPr>
                              <w:rPr>
                                <w:rFonts w:asciiTheme="majorHAnsi" w:hAnsiTheme="majorHAnsi" w:cstheme="majorHAnsi"/>
                                <w:sz w:val="60"/>
                                <w:szCs w:val="60"/>
                              </w:rPr>
                            </w:pPr>
                          </w:p>
                          <w:p w14:paraId="77E3035F" w14:textId="77777777" w:rsidR="00A17C90" w:rsidRPr="007118DA" w:rsidRDefault="007118DA">
                            <w:pPr>
                              <w:rPr>
                                <w:rFonts w:asciiTheme="majorHAnsi" w:hAnsiTheme="majorHAnsi" w:cstheme="majorHAnsi"/>
                                <w:sz w:val="32"/>
                                <w:szCs w:val="32"/>
                              </w:rPr>
                            </w:pPr>
                            <w:r>
                              <w:rPr>
                                <w:rFonts w:asciiTheme="majorHAnsi" w:hAnsiTheme="majorHAnsi" w:cstheme="majorHAnsi"/>
                                <w:sz w:val="32"/>
                                <w:szCs w:val="32"/>
                              </w:rPr>
                              <w:t>Accessible version</w:t>
                            </w:r>
                          </w:p>
                          <w:p w14:paraId="5B054F38" w14:textId="77777777" w:rsidR="00A17C90" w:rsidRPr="005F6A36" w:rsidRDefault="00A17C90" w:rsidP="006858B2">
                            <w:pPr>
                              <w:rPr>
                                <w:b/>
                                <w:bCs/>
                                <w:sz w:val="24"/>
                                <w:szCs w:val="24"/>
                              </w:rPr>
                            </w:pPr>
                            <w:r w:rsidRPr="005F6A36">
                              <w:rPr>
                                <w:b/>
                                <w:bCs/>
                                <w:sz w:val="24"/>
                                <w:szCs w:val="24"/>
                              </w:rPr>
                              <w:t>Yarra City Council</w:t>
                            </w:r>
                            <w:r w:rsidR="007118DA" w:rsidRPr="005F6A36">
                              <w:rPr>
                                <w:b/>
                                <w:bCs/>
                                <w:sz w:val="24"/>
                                <w:szCs w:val="24"/>
                              </w:rPr>
                              <w:t xml:space="preserve"> - </w:t>
                            </w:r>
                            <w:r w:rsidRPr="005F6A36">
                              <w:rPr>
                                <w:b/>
                                <w:bCs/>
                                <w:sz w:val="24"/>
                                <w:szCs w:val="24"/>
                              </w:rPr>
                              <w:t xml:space="preserve">2026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3B73A7" id="_x0000_t202" coordsize="21600,21600" o:spt="202" path="m,l,21600r21600,l21600,xe">
                <v:stroke joinstyle="miter"/>
                <v:path gradientshapeok="t" o:connecttype="rect"/>
              </v:shapetype>
              <v:shape id="Text Box 2" o:spid="_x0000_s1026" type="#_x0000_t202" style="position:absolute;margin-left:312.75pt;margin-top:89.75pt;width:192pt;height:180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" fillcolor="white [3201]" strokeweight=".5pt">
                <v:textbox>
                  <w:txbxContent>
                    <w:p w14:paraId="04058161" w14:textId="77777777" w:rsidR="00A17C90" w:rsidRDefault="00A17C90">
                      <w:pPr>
                        <w:rPr>
                          <w:rFonts w:asciiTheme="majorHAnsi" w:hAnsiTheme="majorHAnsi" w:cstheme="majorHAnsi"/>
                          <w:sz w:val="60"/>
                          <w:szCs w:val="60"/>
                        </w:rPr>
                      </w:pPr>
                      <w:r>
                        <w:rPr>
                          <w:rFonts w:asciiTheme="majorHAnsi" w:hAnsiTheme="majorHAnsi" w:cstheme="majorHAnsi"/>
                          <w:sz w:val="60"/>
                          <w:szCs w:val="60"/>
                        </w:rPr>
                        <w:t>Procurement Policy (draft)</w:t>
                      </w:r>
                    </w:p>
                    <w:p w14:paraId="624122DA" w14:textId="77777777" w:rsidR="007118DA" w:rsidRDefault="007118DA">
                      <w:pPr>
                        <w:rPr>
                          <w:rFonts w:asciiTheme="majorHAnsi" w:hAnsiTheme="majorHAnsi" w:cstheme="majorHAnsi"/>
                          <w:sz w:val="60"/>
                          <w:szCs w:val="60"/>
                        </w:rPr>
                      </w:pPr>
                    </w:p>
                    <w:p w14:paraId="77E3035F" w14:textId="77777777" w:rsidR="00A17C90" w:rsidRPr="007118DA" w:rsidRDefault="007118DA">
                      <w:pPr>
                        <w:rPr>
                          <w:rFonts w:asciiTheme="majorHAnsi" w:hAnsiTheme="majorHAnsi" w:cstheme="majorHAnsi"/>
                          <w:sz w:val="32"/>
                          <w:szCs w:val="32"/>
                        </w:rPr>
                      </w:pPr>
                      <w:r>
                        <w:rPr>
                          <w:rFonts w:asciiTheme="majorHAnsi" w:hAnsiTheme="majorHAnsi" w:cstheme="majorHAnsi"/>
                          <w:sz w:val="32"/>
                          <w:szCs w:val="32"/>
                        </w:rPr>
                        <w:t>Accessible version</w:t>
                      </w:r>
                    </w:p>
                    <w:p w14:paraId="5B054F38" w14:textId="77777777" w:rsidR="00A17C90" w:rsidRPr="005F6A36" w:rsidRDefault="00A17C90" w:rsidP="006858B2">
                      <w:pPr>
                        <w:rPr>
                          <w:b/>
                          <w:bCs/>
                          <w:sz w:val="24"/>
                          <w:szCs w:val="24"/>
                        </w:rPr>
                      </w:pPr>
                      <w:r w:rsidRPr="005F6A36">
                        <w:rPr>
                          <w:b/>
                          <w:bCs/>
                          <w:sz w:val="24"/>
                          <w:szCs w:val="24"/>
                        </w:rPr>
                        <w:t>Yarra City Council</w:t>
                      </w:r>
                      <w:r w:rsidR="007118DA" w:rsidRPr="005F6A36">
                        <w:rPr>
                          <w:b/>
                          <w:bCs/>
                          <w:sz w:val="24"/>
                          <w:szCs w:val="24"/>
                        </w:rPr>
                        <w:t xml:space="preserve"> - </w:t>
                      </w:r>
                      <w:r w:rsidRPr="005F6A36">
                        <w:rPr>
                          <w:b/>
                          <w:bCs/>
                          <w:sz w:val="24"/>
                          <w:szCs w:val="24"/>
                        </w:rPr>
                        <w:t xml:space="preserve">2026 </w:t>
                      </w:r>
                    </w:p>
                  </w:txbxContent>
                </v:textbox>
              </v:shape>
            </w:pict>
          </mc:Fallback>
        </mc:AlternateContent>
      </w:r>
      <w:r w:rsidR="006B7944" w:rsidRPr="005F6A36">
        <w:rPr>
          <w:noProof/>
        </w:rPr>
        <w:drawing>
          <wp:anchor distT="0" distB="0" distL="114300" distR="114300" simplePos="0" relativeHeight="251658242" behindDoc="1" locked="0" layoutInCell="1" allowOverlap="1" wp14:anchorId="29F29EC1" wp14:editId="34A5EE48">
            <wp:simplePos x="0" y="0"/>
            <wp:positionH relativeFrom="page">
              <wp:posOffset>5866952</wp:posOffset>
            </wp:positionH>
            <wp:positionV relativeFrom="page">
              <wp:posOffset>1191895</wp:posOffset>
            </wp:positionV>
            <wp:extent cx="1260000" cy="1126800"/>
            <wp:effectExtent l="0" t="0" r="0" b="0"/>
            <wp:wrapNone/>
            <wp:docPr id="3" name="Picture 3" descr="Yarra Ci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Yarra City Council logo"/>
                    <pic:cNvPicPr/>
                  </pic:nvPicPr>
                  <pic:blipFill>
                    <a:blip r:embed="rId11">
                      <a:extLst>
                        <a:ext uri="{28A0092B-C50C-407E-A947-70E740481C1C}">
                          <a14:useLocalDpi xmlns:a14="http://schemas.microsoft.com/office/drawing/2010/main" val="0"/>
                        </a:ext>
                      </a:extLst>
                    </a:blip>
                    <a:stretch>
                      <a:fillRect/>
                    </a:stretch>
                  </pic:blipFill>
                  <pic:spPr>
                    <a:xfrm>
                      <a:off x="0" y="0"/>
                      <a:ext cx="1260000" cy="1126800"/>
                    </a:xfrm>
                    <a:prstGeom prst="rect">
                      <a:avLst/>
                    </a:prstGeom>
                  </pic:spPr>
                </pic:pic>
              </a:graphicData>
            </a:graphic>
            <wp14:sizeRelH relativeFrom="margin">
              <wp14:pctWidth>0</wp14:pctWidth>
            </wp14:sizeRelH>
            <wp14:sizeRelV relativeFrom="margin">
              <wp14:pctHeight>0</wp14:pctHeight>
            </wp14:sizeRelV>
          </wp:anchor>
        </w:drawing>
      </w:r>
      <w:r w:rsidR="00934040" w:rsidRPr="005F6A36">
        <w:rPr>
          <w:noProof/>
        </w:rPr>
        <mc:AlternateContent>
          <mc:Choice Requires="wps">
            <w:drawing>
              <wp:anchor distT="0" distB="0" distL="114300" distR="114300" simplePos="0" relativeHeight="251658240" behindDoc="1" locked="0" layoutInCell="1" allowOverlap="1" wp14:anchorId="7D7F0A80" wp14:editId="4710C8A8">
                <wp:simplePos x="0" y="0"/>
                <wp:positionH relativeFrom="page">
                  <wp:posOffset>3818890</wp:posOffset>
                </wp:positionH>
                <wp:positionV relativeFrom="page">
                  <wp:posOffset>1193800</wp:posOffset>
                </wp:positionV>
                <wp:extent cx="3311525" cy="4286250"/>
                <wp:effectExtent l="0" t="0" r="3175" b="0"/>
                <wp:wrapNone/>
                <wp:docPr id="2" name="Rectangle 2" descr="Blue square image with the words 'Community Engagement Policy - Yarra City Council 2026 - 2029. "/>
                <wp:cNvGraphicFramePr/>
                <a:graphic xmlns:a="http://schemas.openxmlformats.org/drawingml/2006/main">
                  <a:graphicData uri="http://schemas.microsoft.com/office/word/2010/wordprocessingShape">
                    <wps:wsp>
                      <wps:cNvSpPr/>
                      <wps:spPr>
                        <a:xfrm>
                          <a:off x="0" y="0"/>
                          <a:ext cx="3311525" cy="428625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40DF07" id="Rectangle 2" o:spid="_x0000_s1026" alt="Blue square image with the words 'Community Engagement Policy - Yarra City Council 2026 - 2029. " style="position:absolute;margin-left:300.7pt;margin-top:94pt;width:260.75pt;height:33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" fillcolor="#00b4ee [3204]" stroked="f" strokeweight="2pt">
                <w10:wrap anchorx="page" anchory="page"/>
              </v:rect>
            </w:pict>
          </mc:Fallback>
        </mc:AlternateContent>
      </w:r>
    </w:p>
    <w:p w14:paraId="0F952F70" w14:textId="2D3CEA95" w:rsidR="07901255" w:rsidRPr="005F6A36" w:rsidRDefault="07901255" w:rsidP="07901255">
      <w:pPr>
        <w:rPr>
          <w:sz w:val="21"/>
          <w:szCs w:val="21"/>
        </w:rPr>
        <w:sectPr w:rsidR="07901255" w:rsidRPr="005F6A36" w:rsidSect="00B8315B">
          <w:headerReference w:type="even" r:id="rId12"/>
          <w:headerReference w:type="default" r:id="rId13"/>
          <w:footerReference w:type="even" r:id="rId14"/>
          <w:footerReference w:type="default" r:id="rId15"/>
          <w:headerReference w:type="first" r:id="rId16"/>
          <w:footerReference w:type="first" r:id="rId17"/>
          <w:pgSz w:w="11907" w:h="16840" w:code="9"/>
          <w:pgMar w:top="1729" w:right="1134" w:bottom="1134" w:left="1134" w:header="454" w:footer="312" w:gutter="0"/>
          <w:cols w:space="708"/>
          <w:titlePg/>
          <w:docGrid w:linePitch="360"/>
        </w:sectPr>
      </w:pPr>
    </w:p>
    <w:p w14:paraId="5C1DCCB0" w14:textId="77777777" w:rsidR="00737BF7" w:rsidRPr="005F6A36" w:rsidRDefault="00737BF7" w:rsidP="00737BF7">
      <w:pPr>
        <w:pStyle w:val="Introtext"/>
        <w:rPr>
          <w:color w:val="auto"/>
          <w:sz w:val="24"/>
          <w:szCs w:val="24"/>
        </w:rPr>
      </w:pPr>
      <w:r w:rsidRPr="005F6A36">
        <w:rPr>
          <w:color w:val="auto"/>
          <w:sz w:val="24"/>
          <w:szCs w:val="24"/>
        </w:rPr>
        <w:lastRenderedPageBreak/>
        <w:t>Yarra City Council acknowledges the Wurundjeri Woi Wurrung people as the Traditional Owners and true sovereigns of the land now known as Yarra. We also acknowledge the significant contributions made by other Aboriginal and Torres Strait Islander people to life in Yarra. We pay our respects to Elders from all nations and to their Elders past, present and future.</w:t>
      </w:r>
    </w:p>
    <w:p w14:paraId="37965F77" w14:textId="77777777" w:rsidR="007822A5" w:rsidRPr="005F6A36" w:rsidRDefault="007822A5">
      <w:pPr>
        <w:pStyle w:val="Caption"/>
        <w:rPr>
          <w:rFonts w:ascii="Arial" w:hAnsi="Arial"/>
          <w:kern w:val="2"/>
          <w:sz w:val="28"/>
          <w:szCs w:val="28"/>
          <w14:ligatures w14:val="standardContextual"/>
        </w:rPr>
      </w:pPr>
      <w:r w:rsidRPr="005F6A36">
        <w:rPr>
          <w:rFonts w:ascii="Arial" w:hAnsi="Arial"/>
          <w:sz w:val="28"/>
          <w:szCs w:val="28"/>
        </w:rPr>
        <w:t>Table 1: Policy summary and document control information</w:t>
      </w:r>
    </w:p>
    <w:tbl>
      <w:tblPr>
        <w:tblStyle w:val="TableGrid"/>
        <w:tblW w:w="0" w:type="auto"/>
        <w:tblInd w:w="108" w:type="dxa"/>
        <w:tblLayout w:type="fixed"/>
        <w:tblCellMar>
          <w:top w:w="57" w:type="dxa"/>
          <w:bottom w:w="57" w:type="dxa"/>
        </w:tblCellMar>
        <w:tblLook w:val="04A0" w:firstRow="1" w:lastRow="0" w:firstColumn="1" w:lastColumn="0" w:noHBand="0" w:noVBand="1"/>
      </w:tblPr>
      <w:tblGrid>
        <w:gridCol w:w="3261"/>
        <w:gridCol w:w="6486"/>
      </w:tblGrid>
      <w:tr w:rsidR="001E6947" w:rsidRPr="005F6A36" w14:paraId="48B93D20" w14:textId="77777777" w:rsidTr="002E3358">
        <w:trPr>
          <w:cnfStyle w:val="100000000000" w:firstRow="1" w:lastRow="0" w:firstColumn="0" w:lastColumn="0" w:oddVBand="0" w:evenVBand="0" w:oddHBand="0" w:evenHBand="0" w:firstRowFirstColumn="0" w:firstRowLastColumn="0" w:lastRowFirstColumn="0" w:lastRowLastColumn="0"/>
          <w:tblHeader/>
        </w:trPr>
        <w:tc>
          <w:tcPr>
            <w:tcW w:w="3261" w:type="dxa"/>
            <w:shd w:val="clear" w:color="auto" w:fill="00B0F0"/>
          </w:tcPr>
          <w:p w14:paraId="10FEBBE0" w14:textId="77777777" w:rsidR="001E6947" w:rsidRPr="005F6A36" w:rsidRDefault="001E6947" w:rsidP="00A17C90">
            <w:pPr>
              <w:rPr>
                <w:b w:val="0"/>
                <w:sz w:val="24"/>
                <w:szCs w:val="24"/>
              </w:rPr>
            </w:pPr>
            <w:r w:rsidRPr="005F6A36">
              <w:rPr>
                <w:sz w:val="24"/>
                <w:szCs w:val="24"/>
              </w:rPr>
              <w:t>Title</w:t>
            </w:r>
          </w:p>
        </w:tc>
        <w:tc>
          <w:tcPr>
            <w:tcW w:w="6486" w:type="dxa"/>
            <w:shd w:val="clear" w:color="auto" w:fill="00B0F0"/>
          </w:tcPr>
          <w:p w14:paraId="177A4517" w14:textId="64A3DFE0" w:rsidR="001E6947" w:rsidRPr="005F6A36" w:rsidRDefault="001E6947" w:rsidP="001E6947">
            <w:pPr>
              <w:rPr>
                <w:bCs/>
                <w:sz w:val="24"/>
                <w:szCs w:val="24"/>
              </w:rPr>
            </w:pPr>
            <w:r w:rsidRPr="005F6A36">
              <w:rPr>
                <w:bCs/>
                <w:sz w:val="24"/>
                <w:szCs w:val="24"/>
              </w:rPr>
              <w:t>Procurement Policy 2026</w:t>
            </w:r>
          </w:p>
        </w:tc>
      </w:tr>
      <w:tr w:rsidR="001E6947" w:rsidRPr="005F6A36" w14:paraId="373B06CB" w14:textId="77777777" w:rsidTr="00A17C90">
        <w:tc>
          <w:tcPr>
            <w:tcW w:w="3261" w:type="dxa"/>
          </w:tcPr>
          <w:p w14:paraId="056AD031" w14:textId="77777777" w:rsidR="001E6947" w:rsidRPr="005F6A36" w:rsidRDefault="001E6947" w:rsidP="00A17C90">
            <w:pPr>
              <w:rPr>
                <w:b/>
                <w:sz w:val="24"/>
                <w:szCs w:val="24"/>
              </w:rPr>
            </w:pPr>
            <w:r w:rsidRPr="005F6A36">
              <w:rPr>
                <w:b/>
                <w:sz w:val="24"/>
                <w:szCs w:val="24"/>
              </w:rPr>
              <w:t>Description</w:t>
            </w:r>
          </w:p>
        </w:tc>
        <w:tc>
          <w:tcPr>
            <w:tcW w:w="6486" w:type="dxa"/>
          </w:tcPr>
          <w:p w14:paraId="6DC199ED" w14:textId="243B3D9C" w:rsidR="001E6947" w:rsidRPr="005F6A36" w:rsidRDefault="001E6947" w:rsidP="00A17C90">
            <w:pPr>
              <w:rPr>
                <w:sz w:val="24"/>
                <w:szCs w:val="24"/>
              </w:rPr>
            </w:pPr>
            <w:r w:rsidRPr="005F6A36">
              <w:rPr>
                <w:sz w:val="24"/>
                <w:szCs w:val="24"/>
              </w:rPr>
              <w:t>This policy represents the governance, principles, processes and procedures to be applied to the purchase of all goods, services and works by Council.</w:t>
            </w:r>
          </w:p>
        </w:tc>
      </w:tr>
      <w:tr w:rsidR="001E6947" w:rsidRPr="005F6A36" w14:paraId="5DEE802B" w14:textId="77777777" w:rsidTr="00A17C90">
        <w:trPr>
          <w:cnfStyle w:val="000000010000" w:firstRow="0" w:lastRow="0" w:firstColumn="0" w:lastColumn="0" w:oddVBand="0" w:evenVBand="0" w:oddHBand="0" w:evenHBand="1" w:firstRowFirstColumn="0" w:firstRowLastColumn="0" w:lastRowFirstColumn="0" w:lastRowLastColumn="0"/>
        </w:trPr>
        <w:tc>
          <w:tcPr>
            <w:tcW w:w="3261" w:type="dxa"/>
          </w:tcPr>
          <w:p w14:paraId="6E807096" w14:textId="77777777" w:rsidR="001E6947" w:rsidRPr="005F6A36" w:rsidRDefault="001E6947" w:rsidP="00A17C90">
            <w:pPr>
              <w:rPr>
                <w:b/>
                <w:sz w:val="24"/>
                <w:szCs w:val="24"/>
              </w:rPr>
            </w:pPr>
            <w:r w:rsidRPr="005F6A36">
              <w:rPr>
                <w:b/>
                <w:sz w:val="24"/>
                <w:szCs w:val="24"/>
              </w:rPr>
              <w:t>Category</w:t>
            </w:r>
          </w:p>
        </w:tc>
        <w:tc>
          <w:tcPr>
            <w:tcW w:w="6486" w:type="dxa"/>
          </w:tcPr>
          <w:p w14:paraId="506C1856" w14:textId="43851425" w:rsidR="001E6947" w:rsidRPr="005F6A36" w:rsidRDefault="001E6947" w:rsidP="00A17C90">
            <w:pPr>
              <w:rPr>
                <w:sz w:val="24"/>
                <w:szCs w:val="24"/>
              </w:rPr>
            </w:pPr>
            <w:r w:rsidRPr="005F6A36">
              <w:rPr>
                <w:sz w:val="24"/>
                <w:szCs w:val="24"/>
              </w:rPr>
              <w:t>Finance</w:t>
            </w:r>
          </w:p>
        </w:tc>
      </w:tr>
      <w:tr w:rsidR="001E6947" w:rsidRPr="005F6A36" w14:paraId="5BBB4B05" w14:textId="77777777" w:rsidTr="00A17C90">
        <w:tc>
          <w:tcPr>
            <w:tcW w:w="3261" w:type="dxa"/>
          </w:tcPr>
          <w:p w14:paraId="21B7E52A" w14:textId="77777777" w:rsidR="001E6947" w:rsidRPr="005F6A36" w:rsidRDefault="001E6947" w:rsidP="00A17C90">
            <w:pPr>
              <w:rPr>
                <w:b/>
                <w:sz w:val="24"/>
                <w:szCs w:val="24"/>
              </w:rPr>
            </w:pPr>
            <w:r w:rsidRPr="005F6A36">
              <w:rPr>
                <w:b/>
                <w:sz w:val="24"/>
                <w:szCs w:val="24"/>
              </w:rPr>
              <w:t>Type</w:t>
            </w:r>
          </w:p>
        </w:tc>
        <w:tc>
          <w:tcPr>
            <w:tcW w:w="6486" w:type="dxa"/>
          </w:tcPr>
          <w:p w14:paraId="26DF332F" w14:textId="1B0F4760" w:rsidR="001E6947" w:rsidRPr="005F6A36" w:rsidRDefault="001E6947" w:rsidP="00A17C90">
            <w:pPr>
              <w:rPr>
                <w:sz w:val="24"/>
                <w:szCs w:val="24"/>
              </w:rPr>
            </w:pPr>
            <w:r w:rsidRPr="005F6A36">
              <w:rPr>
                <w:sz w:val="24"/>
                <w:szCs w:val="24"/>
              </w:rPr>
              <w:t>Policy</w:t>
            </w:r>
          </w:p>
        </w:tc>
      </w:tr>
      <w:tr w:rsidR="001E6947" w:rsidRPr="005F6A36" w14:paraId="4F259E28" w14:textId="77777777" w:rsidTr="00A17C90">
        <w:trPr>
          <w:cnfStyle w:val="000000010000" w:firstRow="0" w:lastRow="0" w:firstColumn="0" w:lastColumn="0" w:oddVBand="0" w:evenVBand="0" w:oddHBand="0" w:evenHBand="1" w:firstRowFirstColumn="0" w:firstRowLastColumn="0" w:lastRowFirstColumn="0" w:lastRowLastColumn="0"/>
        </w:trPr>
        <w:tc>
          <w:tcPr>
            <w:tcW w:w="3261" w:type="dxa"/>
          </w:tcPr>
          <w:p w14:paraId="3B39DA74" w14:textId="77777777" w:rsidR="001E6947" w:rsidRPr="005F6A36" w:rsidRDefault="001E6947" w:rsidP="00A17C90">
            <w:pPr>
              <w:rPr>
                <w:b/>
                <w:sz w:val="24"/>
                <w:szCs w:val="24"/>
              </w:rPr>
            </w:pPr>
            <w:r w:rsidRPr="005F6A36">
              <w:rPr>
                <w:b/>
                <w:sz w:val="24"/>
                <w:szCs w:val="24"/>
              </w:rPr>
              <w:t>Approval authority</w:t>
            </w:r>
          </w:p>
        </w:tc>
        <w:tc>
          <w:tcPr>
            <w:tcW w:w="6486" w:type="dxa"/>
          </w:tcPr>
          <w:p w14:paraId="357E739A" w14:textId="6F1F4153" w:rsidR="001E6947" w:rsidRPr="005F6A36" w:rsidRDefault="00B13D4F" w:rsidP="00A17C90">
            <w:pPr>
              <w:rPr>
                <w:sz w:val="24"/>
                <w:szCs w:val="24"/>
              </w:rPr>
            </w:pPr>
            <w:r w:rsidRPr="005F6A36">
              <w:rPr>
                <w:sz w:val="24"/>
                <w:szCs w:val="24"/>
              </w:rPr>
              <w:t>Council</w:t>
            </w:r>
          </w:p>
        </w:tc>
      </w:tr>
      <w:tr w:rsidR="001E6947" w:rsidRPr="005F6A36" w14:paraId="60CB2E5D" w14:textId="77777777" w:rsidTr="00A17C90">
        <w:tc>
          <w:tcPr>
            <w:tcW w:w="3261" w:type="dxa"/>
          </w:tcPr>
          <w:p w14:paraId="71313BBF" w14:textId="77777777" w:rsidR="001E6947" w:rsidRPr="005F6A36" w:rsidRDefault="001E6947" w:rsidP="00A17C90">
            <w:pPr>
              <w:rPr>
                <w:b/>
                <w:sz w:val="24"/>
                <w:szCs w:val="24"/>
              </w:rPr>
            </w:pPr>
            <w:r w:rsidRPr="005F6A36">
              <w:rPr>
                <w:b/>
                <w:sz w:val="24"/>
                <w:szCs w:val="24"/>
              </w:rPr>
              <w:t>Responsible officer</w:t>
            </w:r>
          </w:p>
        </w:tc>
        <w:tc>
          <w:tcPr>
            <w:tcW w:w="6486" w:type="dxa"/>
          </w:tcPr>
          <w:p w14:paraId="08CDF8B7" w14:textId="2B8A36C8" w:rsidR="001E6947" w:rsidRPr="005F6A36" w:rsidRDefault="00F77494" w:rsidP="00A17C90">
            <w:pPr>
              <w:rPr>
                <w:sz w:val="24"/>
                <w:szCs w:val="24"/>
              </w:rPr>
            </w:pPr>
            <w:r w:rsidRPr="005F6A36">
              <w:rPr>
                <w:sz w:val="24"/>
                <w:szCs w:val="24"/>
              </w:rPr>
              <w:t>Chief Financial Officer</w:t>
            </w:r>
          </w:p>
        </w:tc>
      </w:tr>
      <w:tr w:rsidR="001E6947" w:rsidRPr="005F6A36" w14:paraId="72A3A181" w14:textId="77777777" w:rsidTr="00A17C90">
        <w:trPr>
          <w:cnfStyle w:val="000000010000" w:firstRow="0" w:lastRow="0" w:firstColumn="0" w:lastColumn="0" w:oddVBand="0" w:evenVBand="0" w:oddHBand="0" w:evenHBand="1" w:firstRowFirstColumn="0" w:firstRowLastColumn="0" w:lastRowFirstColumn="0" w:lastRowLastColumn="0"/>
        </w:trPr>
        <w:tc>
          <w:tcPr>
            <w:tcW w:w="3261" w:type="dxa"/>
          </w:tcPr>
          <w:p w14:paraId="6DBE943A" w14:textId="77777777" w:rsidR="001E6947" w:rsidRPr="005F6A36" w:rsidRDefault="001E6947" w:rsidP="00A17C90">
            <w:pPr>
              <w:rPr>
                <w:b/>
                <w:sz w:val="24"/>
                <w:szCs w:val="24"/>
              </w:rPr>
            </w:pPr>
            <w:r w:rsidRPr="005F6A36">
              <w:rPr>
                <w:b/>
                <w:sz w:val="24"/>
                <w:szCs w:val="24"/>
              </w:rPr>
              <w:t>Approval date</w:t>
            </w:r>
          </w:p>
        </w:tc>
        <w:tc>
          <w:tcPr>
            <w:tcW w:w="6486" w:type="dxa"/>
          </w:tcPr>
          <w:p w14:paraId="43496B3B" w14:textId="11119071" w:rsidR="002E3358" w:rsidRPr="005F6A36" w:rsidRDefault="00C45A2D" w:rsidP="00A17C90">
            <w:pPr>
              <w:rPr>
                <w:sz w:val="24"/>
                <w:szCs w:val="24"/>
              </w:rPr>
            </w:pPr>
            <w:r w:rsidRPr="005F6A36">
              <w:rPr>
                <w:sz w:val="24"/>
                <w:szCs w:val="24"/>
              </w:rPr>
              <w:t>[</w:t>
            </w:r>
            <w:r w:rsidR="008B0AE9" w:rsidRPr="005F6A36">
              <w:rPr>
                <w:sz w:val="24"/>
                <w:szCs w:val="24"/>
              </w:rPr>
              <w:t>Pending]</w:t>
            </w:r>
          </w:p>
        </w:tc>
      </w:tr>
      <w:tr w:rsidR="001E6947" w:rsidRPr="005F6A36" w14:paraId="0457CB9C" w14:textId="77777777" w:rsidTr="00A17C90">
        <w:tc>
          <w:tcPr>
            <w:tcW w:w="3261" w:type="dxa"/>
          </w:tcPr>
          <w:p w14:paraId="0A77C15C" w14:textId="77777777" w:rsidR="001E6947" w:rsidRPr="005F6A36" w:rsidRDefault="001E6947" w:rsidP="00A17C90">
            <w:pPr>
              <w:rPr>
                <w:b/>
                <w:sz w:val="24"/>
                <w:szCs w:val="24"/>
              </w:rPr>
            </w:pPr>
            <w:r w:rsidRPr="005F6A36">
              <w:rPr>
                <w:b/>
                <w:sz w:val="24"/>
                <w:szCs w:val="24"/>
              </w:rPr>
              <w:t>Review cycle</w:t>
            </w:r>
          </w:p>
        </w:tc>
        <w:tc>
          <w:tcPr>
            <w:tcW w:w="6486" w:type="dxa"/>
          </w:tcPr>
          <w:p w14:paraId="2F41A4B0" w14:textId="246AEB11" w:rsidR="001E6947" w:rsidRPr="005F6A36" w:rsidRDefault="001E6947" w:rsidP="0062080D">
            <w:pPr>
              <w:rPr>
                <w:sz w:val="24"/>
                <w:szCs w:val="24"/>
              </w:rPr>
            </w:pPr>
            <w:r w:rsidRPr="005F6A36">
              <w:rPr>
                <w:sz w:val="24"/>
                <w:szCs w:val="24"/>
              </w:rPr>
              <w:t>Once during each 4-year term of the Council. The Chief Executive Officer may cause the policy to be reviewed before then if there is a significant change in organisational circumstances or changes in legislation</w:t>
            </w:r>
          </w:p>
        </w:tc>
      </w:tr>
      <w:tr w:rsidR="001E6947" w:rsidRPr="005F6A36" w14:paraId="1407A29C" w14:textId="77777777" w:rsidTr="00A17C90">
        <w:trPr>
          <w:cnfStyle w:val="000000010000" w:firstRow="0" w:lastRow="0" w:firstColumn="0" w:lastColumn="0" w:oddVBand="0" w:evenVBand="0" w:oddHBand="0" w:evenHBand="1" w:firstRowFirstColumn="0" w:firstRowLastColumn="0" w:lastRowFirstColumn="0" w:lastRowLastColumn="0"/>
        </w:trPr>
        <w:tc>
          <w:tcPr>
            <w:tcW w:w="3261" w:type="dxa"/>
          </w:tcPr>
          <w:p w14:paraId="372AC0B7" w14:textId="77777777" w:rsidR="001E6947" w:rsidRPr="005F6A36" w:rsidRDefault="001E6947" w:rsidP="00A17C90">
            <w:pPr>
              <w:rPr>
                <w:b/>
                <w:sz w:val="24"/>
                <w:szCs w:val="24"/>
              </w:rPr>
            </w:pPr>
            <w:r w:rsidRPr="005F6A36">
              <w:rPr>
                <w:b/>
                <w:sz w:val="24"/>
                <w:szCs w:val="24"/>
              </w:rPr>
              <w:t>Review date</w:t>
            </w:r>
          </w:p>
        </w:tc>
        <w:tc>
          <w:tcPr>
            <w:tcW w:w="6486" w:type="dxa"/>
          </w:tcPr>
          <w:p w14:paraId="7E300A4A" w14:textId="2F5D266B" w:rsidR="001E6947" w:rsidRPr="005F6A36" w:rsidRDefault="008B0AE9" w:rsidP="00A17C90">
            <w:pPr>
              <w:rPr>
                <w:sz w:val="24"/>
                <w:szCs w:val="24"/>
              </w:rPr>
            </w:pPr>
            <w:r w:rsidRPr="005F6A36">
              <w:rPr>
                <w:sz w:val="24"/>
                <w:szCs w:val="24"/>
              </w:rPr>
              <w:t>[Pending]</w:t>
            </w:r>
          </w:p>
        </w:tc>
      </w:tr>
      <w:tr w:rsidR="001E6947" w:rsidRPr="005F6A36" w14:paraId="68E77617" w14:textId="77777777" w:rsidTr="00A17C90">
        <w:tc>
          <w:tcPr>
            <w:tcW w:w="3261" w:type="dxa"/>
          </w:tcPr>
          <w:p w14:paraId="03F5F98A" w14:textId="77777777" w:rsidR="001E6947" w:rsidRPr="005F6A36" w:rsidRDefault="001E6947" w:rsidP="00A17C90">
            <w:pPr>
              <w:rPr>
                <w:b/>
                <w:sz w:val="24"/>
                <w:szCs w:val="24"/>
              </w:rPr>
            </w:pPr>
            <w:r w:rsidRPr="005F6A36">
              <w:rPr>
                <w:b/>
                <w:sz w:val="24"/>
                <w:szCs w:val="24"/>
              </w:rPr>
              <w:t>Document Reference (Trim)</w:t>
            </w:r>
          </w:p>
        </w:tc>
        <w:tc>
          <w:tcPr>
            <w:tcW w:w="6486" w:type="dxa"/>
          </w:tcPr>
          <w:p w14:paraId="0E72E5D3" w14:textId="3424CEC6" w:rsidR="001E6947" w:rsidRPr="005F6A36" w:rsidRDefault="008B0AE9" w:rsidP="00A17C90">
            <w:pPr>
              <w:rPr>
                <w:sz w:val="24"/>
                <w:szCs w:val="24"/>
              </w:rPr>
            </w:pPr>
            <w:r w:rsidRPr="005F6A36">
              <w:rPr>
                <w:sz w:val="24"/>
                <w:szCs w:val="24"/>
              </w:rPr>
              <w:t>[Pending]</w:t>
            </w:r>
          </w:p>
        </w:tc>
      </w:tr>
      <w:tr w:rsidR="001E6947" w:rsidRPr="005F6A36" w14:paraId="23790FF7" w14:textId="77777777" w:rsidTr="00A17C90">
        <w:trPr>
          <w:cnfStyle w:val="000000010000" w:firstRow="0" w:lastRow="0" w:firstColumn="0" w:lastColumn="0" w:oddVBand="0" w:evenVBand="0" w:oddHBand="0" w:evenHBand="1" w:firstRowFirstColumn="0" w:firstRowLastColumn="0" w:lastRowFirstColumn="0" w:lastRowLastColumn="0"/>
        </w:trPr>
        <w:tc>
          <w:tcPr>
            <w:tcW w:w="3261" w:type="dxa"/>
          </w:tcPr>
          <w:p w14:paraId="12AA312A" w14:textId="77777777" w:rsidR="001E6947" w:rsidRPr="005F6A36" w:rsidRDefault="001E6947" w:rsidP="00A17C90">
            <w:pPr>
              <w:rPr>
                <w:b/>
                <w:sz w:val="24"/>
                <w:szCs w:val="24"/>
              </w:rPr>
            </w:pPr>
            <w:r w:rsidRPr="005F6A36">
              <w:rPr>
                <w:b/>
                <w:sz w:val="24"/>
                <w:szCs w:val="24"/>
              </w:rPr>
              <w:t>Human Rights compatibility</w:t>
            </w:r>
          </w:p>
        </w:tc>
        <w:tc>
          <w:tcPr>
            <w:tcW w:w="6486" w:type="dxa"/>
          </w:tcPr>
          <w:p w14:paraId="262CE5CF" w14:textId="77777777" w:rsidR="001E6947" w:rsidRPr="005F6A36" w:rsidRDefault="001E6947" w:rsidP="00A17C90">
            <w:pPr>
              <w:rPr>
                <w:sz w:val="24"/>
                <w:szCs w:val="24"/>
              </w:rPr>
            </w:pPr>
            <w:r w:rsidRPr="005F6A36">
              <w:rPr>
                <w:sz w:val="24"/>
                <w:szCs w:val="24"/>
              </w:rPr>
              <w:t>This policy has been assessed and is compatible with the Victorian Charter of Human Rights and Responsibilities</w:t>
            </w:r>
          </w:p>
        </w:tc>
      </w:tr>
    </w:tbl>
    <w:p w14:paraId="04A5599B" w14:textId="77777777" w:rsidR="00737BF7" w:rsidRPr="005F6A36" w:rsidRDefault="00737BF7" w:rsidP="00737BF7">
      <w:pPr>
        <w:rPr>
          <w:sz w:val="21"/>
          <w:szCs w:val="21"/>
        </w:rPr>
      </w:pPr>
    </w:p>
    <w:p w14:paraId="21C9FD7E" w14:textId="1E445876" w:rsidR="5E97EE55" w:rsidRPr="005F6A36" w:rsidRDefault="5E97EE55" w:rsidP="5E97EE55">
      <w:pPr>
        <w:rPr>
          <w:sz w:val="21"/>
          <w:szCs w:val="21"/>
        </w:rPr>
      </w:pPr>
    </w:p>
    <w:sdt>
      <w:sdtPr>
        <w:rPr>
          <w:rFonts w:ascii="Arial" w:eastAsia="Times New Roman" w:hAnsi="Arial" w:cs="Arial"/>
          <w:b w:val="0"/>
          <w:color w:val="auto"/>
          <w:sz w:val="24"/>
          <w:szCs w:val="24"/>
        </w:rPr>
        <w:id w:val="310372342"/>
        <w:docPartObj>
          <w:docPartGallery w:val="Table of Contents"/>
          <w:docPartUnique/>
        </w:docPartObj>
      </w:sdtPr>
      <w:sdtEndPr>
        <w:rPr>
          <w:noProof/>
          <w:sz w:val="21"/>
          <w:szCs w:val="21"/>
        </w:rPr>
      </w:sdtEndPr>
      <w:sdtContent>
        <w:p w14:paraId="733BD128" w14:textId="0D0FDBDC" w:rsidR="00AA1B20" w:rsidRPr="005F6A36" w:rsidRDefault="00AA1B20">
          <w:pPr>
            <w:pStyle w:val="TOCHeading"/>
            <w:rPr>
              <w:rFonts w:ascii="Arial" w:hAnsi="Arial" w:cs="Arial"/>
              <w:sz w:val="24"/>
              <w:szCs w:val="24"/>
            </w:rPr>
          </w:pPr>
          <w:r w:rsidRPr="005F6A36">
            <w:rPr>
              <w:rFonts w:ascii="Arial" w:hAnsi="Arial" w:cs="Arial"/>
              <w:sz w:val="24"/>
              <w:szCs w:val="24"/>
            </w:rPr>
            <w:t>Table of Contents</w:t>
          </w:r>
        </w:p>
        <w:p w14:paraId="015D5042" w14:textId="3F0F727B" w:rsidR="007822A5" w:rsidRPr="005F6A36" w:rsidRDefault="00AA1B20">
          <w:pPr>
            <w:pStyle w:val="TOC1"/>
            <w:tabs>
              <w:tab w:val="left" w:pos="660"/>
            </w:tabs>
            <w:rPr>
              <w:rFonts w:ascii="Arial" w:eastAsiaTheme="minorEastAsia" w:hAnsi="Arial"/>
              <w:noProof/>
              <w:color w:val="auto"/>
              <w:kern w:val="2"/>
              <w:sz w:val="24"/>
              <w:szCs w:val="24"/>
              <w14:ligatures w14:val="standardContextual"/>
            </w:rPr>
          </w:pPr>
          <w:r w:rsidRPr="005F6A36">
            <w:rPr>
              <w:rFonts w:ascii="Arial" w:hAnsi="Arial"/>
              <w:sz w:val="24"/>
              <w:szCs w:val="24"/>
            </w:rPr>
            <w:fldChar w:fldCharType="begin"/>
          </w:r>
          <w:r w:rsidRPr="005F6A36">
            <w:rPr>
              <w:rFonts w:ascii="Arial" w:hAnsi="Arial"/>
              <w:sz w:val="24"/>
              <w:szCs w:val="24"/>
            </w:rPr>
            <w:instrText xml:space="preserve"> TOC \o "1-3" \h \z \u </w:instrText>
          </w:r>
          <w:r w:rsidRPr="005F6A36">
            <w:rPr>
              <w:rFonts w:ascii="Arial" w:hAnsi="Arial"/>
              <w:sz w:val="24"/>
              <w:szCs w:val="24"/>
            </w:rPr>
            <w:fldChar w:fldCharType="separate"/>
          </w:r>
          <w:hyperlink w:anchor="_Toc240536439" w:history="1">
            <w:r w:rsidR="007822A5" w:rsidRPr="005F6A36">
              <w:rPr>
                <w:rStyle w:val="Hyperlink"/>
                <w:rFonts w:ascii="Arial" w:hAnsi="Arial"/>
                <w:noProof/>
                <w:sz w:val="24"/>
                <w:szCs w:val="24"/>
              </w:rPr>
              <w:t>1.</w:t>
            </w:r>
            <w:r w:rsidR="007822A5" w:rsidRPr="005F6A36">
              <w:rPr>
                <w:rFonts w:ascii="Arial" w:eastAsiaTheme="minorEastAsia" w:hAnsi="Arial"/>
                <w:noProof/>
                <w:color w:val="auto"/>
                <w:kern w:val="2"/>
                <w:sz w:val="24"/>
                <w:szCs w:val="24"/>
                <w14:ligatures w14:val="standardContextual"/>
              </w:rPr>
              <w:tab/>
            </w:r>
            <w:r w:rsidR="007822A5" w:rsidRPr="005F6A36">
              <w:rPr>
                <w:rStyle w:val="Hyperlink"/>
                <w:rFonts w:ascii="Arial" w:hAnsi="Arial"/>
                <w:noProof/>
                <w:sz w:val="24"/>
                <w:szCs w:val="24"/>
              </w:rPr>
              <w:t>Strategic Procurement Objectives</w:t>
            </w:r>
            <w:r w:rsidR="007822A5" w:rsidRPr="005F6A36">
              <w:rPr>
                <w:rFonts w:ascii="Arial" w:hAnsi="Arial"/>
                <w:noProof/>
                <w:webHidden/>
                <w:sz w:val="24"/>
                <w:szCs w:val="24"/>
              </w:rPr>
              <w:tab/>
            </w:r>
            <w:r w:rsidR="007822A5" w:rsidRPr="005F6A36">
              <w:rPr>
                <w:rFonts w:ascii="Arial" w:hAnsi="Arial"/>
                <w:noProof/>
                <w:webHidden/>
                <w:sz w:val="24"/>
                <w:szCs w:val="24"/>
              </w:rPr>
              <w:fldChar w:fldCharType="begin"/>
            </w:r>
            <w:r w:rsidR="007822A5" w:rsidRPr="005F6A36">
              <w:rPr>
                <w:rFonts w:ascii="Arial" w:hAnsi="Arial"/>
                <w:noProof/>
                <w:webHidden/>
                <w:sz w:val="24"/>
                <w:szCs w:val="24"/>
              </w:rPr>
              <w:instrText xml:space="preserve"> PAGEREF _Toc240536439 \h </w:instrText>
            </w:r>
            <w:r w:rsidR="007822A5" w:rsidRPr="005F6A36">
              <w:rPr>
                <w:rFonts w:ascii="Arial" w:hAnsi="Arial"/>
                <w:noProof/>
                <w:webHidden/>
                <w:sz w:val="24"/>
                <w:szCs w:val="24"/>
              </w:rPr>
            </w:r>
            <w:r w:rsidR="007822A5" w:rsidRPr="005F6A36">
              <w:rPr>
                <w:rFonts w:ascii="Arial" w:hAnsi="Arial"/>
                <w:noProof/>
                <w:webHidden/>
                <w:sz w:val="24"/>
                <w:szCs w:val="24"/>
              </w:rPr>
              <w:fldChar w:fldCharType="separate"/>
            </w:r>
            <w:r w:rsidR="002C7F3A">
              <w:rPr>
                <w:rFonts w:ascii="Arial" w:hAnsi="Arial"/>
                <w:noProof/>
                <w:webHidden/>
                <w:sz w:val="24"/>
                <w:szCs w:val="24"/>
              </w:rPr>
              <w:t>5</w:t>
            </w:r>
            <w:r w:rsidR="007822A5" w:rsidRPr="005F6A36">
              <w:rPr>
                <w:rFonts w:ascii="Arial" w:hAnsi="Arial"/>
                <w:noProof/>
                <w:webHidden/>
                <w:sz w:val="24"/>
                <w:szCs w:val="24"/>
              </w:rPr>
              <w:fldChar w:fldCharType="end"/>
            </w:r>
          </w:hyperlink>
        </w:p>
        <w:p w14:paraId="73DC9551" w14:textId="140DDE1F" w:rsidR="007822A5" w:rsidRPr="005F6A36" w:rsidRDefault="007822A5">
          <w:pPr>
            <w:pStyle w:val="TOC3"/>
            <w:tabs>
              <w:tab w:val="left" w:pos="880"/>
            </w:tabs>
            <w:rPr>
              <w:rFonts w:eastAsiaTheme="minorEastAsia"/>
              <w:noProof/>
              <w:kern w:val="2"/>
              <w:sz w:val="24"/>
              <w:szCs w:val="24"/>
              <w14:ligatures w14:val="standardContextual"/>
            </w:rPr>
          </w:pPr>
          <w:hyperlink w:anchor="_Toc240536440" w:history="1">
            <w:r w:rsidRPr="005F6A36">
              <w:rPr>
                <w:rStyle w:val="Hyperlink"/>
                <w:noProof/>
                <w:sz w:val="24"/>
                <w:szCs w:val="24"/>
              </w:rPr>
              <w:t>1.1</w:t>
            </w:r>
            <w:r w:rsidRPr="005F6A36">
              <w:rPr>
                <w:rFonts w:eastAsiaTheme="minorEastAsia"/>
                <w:noProof/>
                <w:kern w:val="2"/>
                <w:sz w:val="24"/>
                <w:szCs w:val="24"/>
                <w14:ligatures w14:val="standardContextual"/>
              </w:rPr>
              <w:tab/>
            </w:r>
            <w:r w:rsidRPr="005F6A36">
              <w:rPr>
                <w:rStyle w:val="Hyperlink"/>
                <w:noProof/>
                <w:sz w:val="24"/>
                <w:szCs w:val="24"/>
              </w:rPr>
              <w:t>Purpose</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_Toc240536440 \h </w:instrText>
            </w:r>
            <w:r w:rsidRPr="005F6A36">
              <w:rPr>
                <w:noProof/>
                <w:webHidden/>
                <w:sz w:val="24"/>
                <w:szCs w:val="24"/>
              </w:rPr>
            </w:r>
            <w:r w:rsidRPr="005F6A36">
              <w:rPr>
                <w:noProof/>
                <w:webHidden/>
                <w:sz w:val="24"/>
                <w:szCs w:val="24"/>
              </w:rPr>
              <w:fldChar w:fldCharType="separate"/>
            </w:r>
            <w:r w:rsidR="002C7F3A">
              <w:rPr>
                <w:noProof/>
                <w:webHidden/>
                <w:sz w:val="24"/>
                <w:szCs w:val="24"/>
              </w:rPr>
              <w:t>5</w:t>
            </w:r>
            <w:r w:rsidRPr="005F6A36">
              <w:rPr>
                <w:noProof/>
                <w:webHidden/>
                <w:sz w:val="24"/>
                <w:szCs w:val="24"/>
              </w:rPr>
              <w:fldChar w:fldCharType="end"/>
            </w:r>
          </w:hyperlink>
        </w:p>
        <w:p w14:paraId="70593E1C" w14:textId="206694CF" w:rsidR="007822A5" w:rsidRPr="005F6A36" w:rsidRDefault="007822A5">
          <w:pPr>
            <w:pStyle w:val="TOC3"/>
            <w:tabs>
              <w:tab w:val="left" w:pos="880"/>
            </w:tabs>
            <w:rPr>
              <w:rFonts w:eastAsiaTheme="minorEastAsia"/>
              <w:noProof/>
              <w:kern w:val="2"/>
              <w:sz w:val="24"/>
              <w:szCs w:val="24"/>
              <w14:ligatures w14:val="standardContextual"/>
            </w:rPr>
          </w:pPr>
          <w:hyperlink w:anchor="_Toc240536441" w:history="1">
            <w:r w:rsidRPr="005F6A36">
              <w:rPr>
                <w:rStyle w:val="Hyperlink"/>
                <w:noProof/>
                <w:sz w:val="24"/>
                <w:szCs w:val="24"/>
              </w:rPr>
              <w:t>1.2</w:t>
            </w:r>
            <w:r w:rsidRPr="005F6A36">
              <w:rPr>
                <w:rFonts w:eastAsiaTheme="minorEastAsia"/>
                <w:noProof/>
                <w:kern w:val="2"/>
                <w:sz w:val="24"/>
                <w:szCs w:val="24"/>
                <w14:ligatures w14:val="standardContextual"/>
              </w:rPr>
              <w:tab/>
            </w:r>
            <w:r w:rsidRPr="005F6A36">
              <w:rPr>
                <w:rStyle w:val="Hyperlink"/>
                <w:noProof/>
                <w:sz w:val="24"/>
                <w:szCs w:val="24"/>
              </w:rPr>
              <w:t>Strategic Context</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_Toc240536441 \h </w:instrText>
            </w:r>
            <w:r w:rsidRPr="005F6A36">
              <w:rPr>
                <w:noProof/>
                <w:webHidden/>
                <w:sz w:val="24"/>
                <w:szCs w:val="24"/>
              </w:rPr>
            </w:r>
            <w:r w:rsidRPr="005F6A36">
              <w:rPr>
                <w:noProof/>
                <w:webHidden/>
                <w:sz w:val="24"/>
                <w:szCs w:val="24"/>
              </w:rPr>
              <w:fldChar w:fldCharType="separate"/>
            </w:r>
            <w:r w:rsidR="002C7F3A">
              <w:rPr>
                <w:noProof/>
                <w:webHidden/>
                <w:sz w:val="24"/>
                <w:szCs w:val="24"/>
              </w:rPr>
              <w:t>6</w:t>
            </w:r>
            <w:r w:rsidRPr="005F6A36">
              <w:rPr>
                <w:noProof/>
                <w:webHidden/>
                <w:sz w:val="24"/>
                <w:szCs w:val="24"/>
              </w:rPr>
              <w:fldChar w:fldCharType="end"/>
            </w:r>
          </w:hyperlink>
        </w:p>
        <w:p w14:paraId="2AB09CF4" w14:textId="13205CBE" w:rsidR="007822A5" w:rsidRPr="005F6A36" w:rsidRDefault="007822A5">
          <w:pPr>
            <w:pStyle w:val="TOC3"/>
            <w:tabs>
              <w:tab w:val="left" w:pos="880"/>
            </w:tabs>
            <w:rPr>
              <w:rFonts w:eastAsiaTheme="minorEastAsia"/>
              <w:noProof/>
              <w:kern w:val="2"/>
              <w:sz w:val="24"/>
              <w:szCs w:val="24"/>
              <w14:ligatures w14:val="standardContextual"/>
            </w:rPr>
          </w:pPr>
          <w:hyperlink w:anchor="_Toc240536442" w:history="1">
            <w:r w:rsidRPr="005F6A36">
              <w:rPr>
                <w:rStyle w:val="Hyperlink"/>
                <w:noProof/>
                <w:sz w:val="24"/>
                <w:szCs w:val="24"/>
              </w:rPr>
              <w:t>1.3</w:t>
            </w:r>
            <w:r w:rsidRPr="005F6A36">
              <w:rPr>
                <w:rFonts w:eastAsiaTheme="minorEastAsia"/>
                <w:noProof/>
                <w:kern w:val="2"/>
                <w:sz w:val="24"/>
                <w:szCs w:val="24"/>
                <w14:ligatures w14:val="standardContextual"/>
              </w:rPr>
              <w:tab/>
            </w:r>
            <w:r w:rsidRPr="005F6A36">
              <w:rPr>
                <w:rStyle w:val="Hyperlink"/>
                <w:noProof/>
                <w:sz w:val="24"/>
                <w:szCs w:val="24"/>
              </w:rPr>
              <w:t>How Strategic Trade-offs Are Made</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_Toc240536442 \h </w:instrText>
            </w:r>
            <w:r w:rsidRPr="005F6A36">
              <w:rPr>
                <w:noProof/>
                <w:webHidden/>
                <w:sz w:val="24"/>
                <w:szCs w:val="24"/>
              </w:rPr>
            </w:r>
            <w:r w:rsidRPr="005F6A36">
              <w:rPr>
                <w:noProof/>
                <w:webHidden/>
                <w:sz w:val="24"/>
                <w:szCs w:val="24"/>
              </w:rPr>
              <w:fldChar w:fldCharType="separate"/>
            </w:r>
            <w:r w:rsidR="002C7F3A">
              <w:rPr>
                <w:noProof/>
                <w:webHidden/>
                <w:sz w:val="24"/>
                <w:szCs w:val="24"/>
              </w:rPr>
              <w:t>8</w:t>
            </w:r>
            <w:r w:rsidRPr="005F6A36">
              <w:rPr>
                <w:noProof/>
                <w:webHidden/>
                <w:sz w:val="24"/>
                <w:szCs w:val="24"/>
              </w:rPr>
              <w:fldChar w:fldCharType="end"/>
            </w:r>
          </w:hyperlink>
        </w:p>
        <w:p w14:paraId="5481FBF4" w14:textId="21B7BAC3" w:rsidR="007822A5" w:rsidRPr="005F6A36" w:rsidRDefault="007822A5">
          <w:pPr>
            <w:pStyle w:val="TOC3"/>
            <w:tabs>
              <w:tab w:val="left" w:pos="880"/>
            </w:tabs>
            <w:rPr>
              <w:rFonts w:eastAsiaTheme="minorEastAsia"/>
              <w:noProof/>
              <w:kern w:val="2"/>
              <w:sz w:val="24"/>
              <w:szCs w:val="24"/>
              <w14:ligatures w14:val="standardContextual"/>
            </w:rPr>
          </w:pPr>
          <w:hyperlink w:anchor="_Toc240536443" w:history="1">
            <w:r w:rsidRPr="005F6A36">
              <w:rPr>
                <w:rStyle w:val="Hyperlink"/>
                <w:noProof/>
                <w:sz w:val="24"/>
                <w:szCs w:val="24"/>
              </w:rPr>
              <w:t>1.4</w:t>
            </w:r>
            <w:r w:rsidRPr="005F6A36">
              <w:rPr>
                <w:rFonts w:eastAsiaTheme="minorEastAsia"/>
                <w:noProof/>
                <w:kern w:val="2"/>
                <w:sz w:val="24"/>
                <w:szCs w:val="24"/>
                <w14:ligatures w14:val="standardContextual"/>
              </w:rPr>
              <w:tab/>
            </w:r>
            <w:r w:rsidRPr="005F6A36">
              <w:rPr>
                <w:rStyle w:val="Hyperlink"/>
                <w:noProof/>
                <w:sz w:val="24"/>
                <w:szCs w:val="24"/>
              </w:rPr>
              <w:t>Good procurement outcomes</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_Toc240536443 \h </w:instrText>
            </w:r>
            <w:r w:rsidRPr="005F6A36">
              <w:rPr>
                <w:noProof/>
                <w:webHidden/>
                <w:sz w:val="24"/>
                <w:szCs w:val="24"/>
              </w:rPr>
            </w:r>
            <w:r w:rsidRPr="005F6A36">
              <w:rPr>
                <w:noProof/>
                <w:webHidden/>
                <w:sz w:val="24"/>
                <w:szCs w:val="24"/>
              </w:rPr>
              <w:fldChar w:fldCharType="separate"/>
            </w:r>
            <w:r w:rsidR="002C7F3A">
              <w:rPr>
                <w:noProof/>
                <w:webHidden/>
                <w:sz w:val="24"/>
                <w:szCs w:val="24"/>
              </w:rPr>
              <w:t>8</w:t>
            </w:r>
            <w:r w:rsidRPr="005F6A36">
              <w:rPr>
                <w:noProof/>
                <w:webHidden/>
                <w:sz w:val="24"/>
                <w:szCs w:val="24"/>
              </w:rPr>
              <w:fldChar w:fldCharType="end"/>
            </w:r>
          </w:hyperlink>
        </w:p>
        <w:p w14:paraId="19ABAC24" w14:textId="16B7F20C" w:rsidR="007822A5" w:rsidRPr="005F6A36" w:rsidRDefault="007822A5">
          <w:pPr>
            <w:pStyle w:val="TOC1"/>
            <w:tabs>
              <w:tab w:val="left" w:pos="660"/>
            </w:tabs>
            <w:rPr>
              <w:rFonts w:ascii="Arial" w:eastAsiaTheme="minorEastAsia" w:hAnsi="Arial"/>
              <w:noProof/>
              <w:color w:val="auto"/>
              <w:kern w:val="2"/>
              <w:sz w:val="24"/>
              <w:szCs w:val="24"/>
              <w14:ligatures w14:val="standardContextual"/>
            </w:rPr>
          </w:pPr>
          <w:hyperlink w:anchor="_Toc240536444" w:history="1">
            <w:r w:rsidRPr="005F6A36">
              <w:rPr>
                <w:rStyle w:val="Hyperlink"/>
                <w:rFonts w:ascii="Arial" w:hAnsi="Arial"/>
                <w:noProof/>
                <w:sz w:val="24"/>
                <w:szCs w:val="24"/>
              </w:rPr>
              <w:t>2.</w:t>
            </w:r>
            <w:r w:rsidRPr="005F6A36">
              <w:rPr>
                <w:rFonts w:ascii="Arial" w:eastAsiaTheme="minorEastAsia" w:hAnsi="Arial"/>
                <w:noProof/>
                <w:color w:val="auto"/>
                <w:kern w:val="2"/>
                <w:sz w:val="24"/>
                <w:szCs w:val="24"/>
                <w14:ligatures w14:val="standardContextual"/>
              </w:rPr>
              <w:tab/>
            </w:r>
            <w:r w:rsidRPr="005F6A36">
              <w:rPr>
                <w:rStyle w:val="Hyperlink"/>
                <w:rFonts w:ascii="Arial" w:hAnsi="Arial"/>
                <w:noProof/>
                <w:sz w:val="24"/>
                <w:szCs w:val="24"/>
              </w:rPr>
              <w:t>Principles</w:t>
            </w:r>
            <w:r w:rsidRPr="005F6A36">
              <w:rPr>
                <w:rFonts w:ascii="Arial" w:hAnsi="Arial"/>
                <w:noProof/>
                <w:webHidden/>
                <w:sz w:val="24"/>
                <w:szCs w:val="24"/>
              </w:rPr>
              <w:tab/>
            </w:r>
            <w:r w:rsidRPr="005F6A36">
              <w:rPr>
                <w:rFonts w:ascii="Arial" w:hAnsi="Arial"/>
                <w:noProof/>
                <w:webHidden/>
                <w:sz w:val="24"/>
                <w:szCs w:val="24"/>
              </w:rPr>
              <w:fldChar w:fldCharType="begin"/>
            </w:r>
            <w:r w:rsidRPr="005F6A36">
              <w:rPr>
                <w:rFonts w:ascii="Arial" w:hAnsi="Arial"/>
                <w:noProof/>
                <w:webHidden/>
                <w:sz w:val="24"/>
                <w:szCs w:val="24"/>
              </w:rPr>
              <w:instrText xml:space="preserve"> PAGEREF _Toc240536444 \h </w:instrText>
            </w:r>
            <w:r w:rsidRPr="005F6A36">
              <w:rPr>
                <w:rFonts w:ascii="Arial" w:hAnsi="Arial"/>
                <w:noProof/>
                <w:webHidden/>
                <w:sz w:val="24"/>
                <w:szCs w:val="24"/>
              </w:rPr>
            </w:r>
            <w:r w:rsidRPr="005F6A36">
              <w:rPr>
                <w:rFonts w:ascii="Arial" w:hAnsi="Arial"/>
                <w:noProof/>
                <w:webHidden/>
                <w:sz w:val="24"/>
                <w:szCs w:val="24"/>
              </w:rPr>
              <w:fldChar w:fldCharType="separate"/>
            </w:r>
            <w:r w:rsidR="002C7F3A">
              <w:rPr>
                <w:rFonts w:ascii="Arial" w:hAnsi="Arial"/>
                <w:noProof/>
                <w:webHidden/>
                <w:sz w:val="24"/>
                <w:szCs w:val="24"/>
              </w:rPr>
              <w:t>9</w:t>
            </w:r>
            <w:r w:rsidRPr="005F6A36">
              <w:rPr>
                <w:rFonts w:ascii="Arial" w:hAnsi="Arial"/>
                <w:noProof/>
                <w:webHidden/>
                <w:sz w:val="24"/>
                <w:szCs w:val="24"/>
              </w:rPr>
              <w:fldChar w:fldCharType="end"/>
            </w:r>
          </w:hyperlink>
        </w:p>
        <w:p w14:paraId="69F79527" w14:textId="4B13E960" w:rsidR="007822A5" w:rsidRPr="005F6A36" w:rsidRDefault="007822A5">
          <w:pPr>
            <w:pStyle w:val="TOC3"/>
            <w:tabs>
              <w:tab w:val="left" w:pos="880"/>
            </w:tabs>
            <w:rPr>
              <w:rFonts w:eastAsiaTheme="minorEastAsia"/>
              <w:noProof/>
              <w:kern w:val="2"/>
              <w:sz w:val="24"/>
              <w:szCs w:val="24"/>
              <w14:ligatures w14:val="standardContextual"/>
            </w:rPr>
          </w:pPr>
          <w:hyperlink w:anchor="_Toc240536445" w:history="1">
            <w:r w:rsidRPr="005F6A36">
              <w:rPr>
                <w:rStyle w:val="Hyperlink"/>
                <w:noProof/>
                <w:sz w:val="24"/>
                <w:szCs w:val="24"/>
              </w:rPr>
              <w:t>2.1</w:t>
            </w:r>
            <w:r w:rsidRPr="005F6A36">
              <w:rPr>
                <w:rFonts w:eastAsiaTheme="minorEastAsia"/>
                <w:noProof/>
                <w:kern w:val="2"/>
                <w:sz w:val="24"/>
                <w:szCs w:val="24"/>
                <w14:ligatures w14:val="standardContextual"/>
              </w:rPr>
              <w:tab/>
            </w:r>
            <w:r w:rsidRPr="005F6A36">
              <w:rPr>
                <w:rStyle w:val="Hyperlink"/>
                <w:noProof/>
                <w:sz w:val="24"/>
                <w:szCs w:val="24"/>
              </w:rPr>
              <w:t>Overview</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_Toc240536445 \h </w:instrText>
            </w:r>
            <w:r w:rsidRPr="005F6A36">
              <w:rPr>
                <w:noProof/>
                <w:webHidden/>
                <w:sz w:val="24"/>
                <w:szCs w:val="24"/>
              </w:rPr>
            </w:r>
            <w:r w:rsidRPr="005F6A36">
              <w:rPr>
                <w:noProof/>
                <w:webHidden/>
                <w:sz w:val="24"/>
                <w:szCs w:val="24"/>
              </w:rPr>
              <w:fldChar w:fldCharType="separate"/>
            </w:r>
            <w:r w:rsidR="002C7F3A">
              <w:rPr>
                <w:noProof/>
                <w:webHidden/>
                <w:sz w:val="24"/>
                <w:szCs w:val="24"/>
              </w:rPr>
              <w:t>9</w:t>
            </w:r>
            <w:r w:rsidRPr="005F6A36">
              <w:rPr>
                <w:noProof/>
                <w:webHidden/>
                <w:sz w:val="24"/>
                <w:szCs w:val="24"/>
              </w:rPr>
              <w:fldChar w:fldCharType="end"/>
            </w:r>
          </w:hyperlink>
        </w:p>
        <w:p w14:paraId="5A21DC39" w14:textId="7CCCAD71" w:rsidR="007822A5" w:rsidRPr="005F6A36" w:rsidRDefault="007822A5">
          <w:pPr>
            <w:pStyle w:val="TOC3"/>
            <w:tabs>
              <w:tab w:val="left" w:pos="880"/>
            </w:tabs>
            <w:rPr>
              <w:rFonts w:eastAsiaTheme="minorEastAsia"/>
              <w:noProof/>
              <w:kern w:val="2"/>
              <w:sz w:val="24"/>
              <w:szCs w:val="24"/>
              <w14:ligatures w14:val="standardContextual"/>
            </w:rPr>
          </w:pPr>
          <w:hyperlink w:anchor="_Toc240536446" w:history="1">
            <w:r w:rsidRPr="005F6A36">
              <w:rPr>
                <w:rStyle w:val="Hyperlink"/>
                <w:noProof/>
                <w:sz w:val="24"/>
                <w:szCs w:val="24"/>
              </w:rPr>
              <w:t>2.2</w:t>
            </w:r>
            <w:r w:rsidRPr="005F6A36">
              <w:rPr>
                <w:rFonts w:eastAsiaTheme="minorEastAsia"/>
                <w:noProof/>
                <w:kern w:val="2"/>
                <w:sz w:val="24"/>
                <w:szCs w:val="24"/>
                <w14:ligatures w14:val="standardContextual"/>
              </w:rPr>
              <w:tab/>
            </w:r>
            <w:r w:rsidRPr="005F6A36">
              <w:rPr>
                <w:rStyle w:val="Hyperlink"/>
                <w:noProof/>
                <w:sz w:val="24"/>
                <w:szCs w:val="24"/>
              </w:rPr>
              <w:t>Procurement Principles</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_Toc240536446 \h </w:instrText>
            </w:r>
            <w:r w:rsidRPr="005F6A36">
              <w:rPr>
                <w:noProof/>
                <w:webHidden/>
                <w:sz w:val="24"/>
                <w:szCs w:val="24"/>
              </w:rPr>
            </w:r>
            <w:r w:rsidRPr="005F6A36">
              <w:rPr>
                <w:noProof/>
                <w:webHidden/>
                <w:sz w:val="24"/>
                <w:szCs w:val="24"/>
              </w:rPr>
              <w:fldChar w:fldCharType="separate"/>
            </w:r>
            <w:r w:rsidR="002C7F3A">
              <w:rPr>
                <w:noProof/>
                <w:webHidden/>
                <w:sz w:val="24"/>
                <w:szCs w:val="24"/>
              </w:rPr>
              <w:t>9</w:t>
            </w:r>
            <w:r w:rsidRPr="005F6A36">
              <w:rPr>
                <w:noProof/>
                <w:webHidden/>
                <w:sz w:val="24"/>
                <w:szCs w:val="24"/>
              </w:rPr>
              <w:fldChar w:fldCharType="end"/>
            </w:r>
          </w:hyperlink>
        </w:p>
        <w:p w14:paraId="600A557D" w14:textId="0F92D1BF" w:rsidR="007822A5" w:rsidRPr="005F6A36" w:rsidRDefault="007822A5">
          <w:pPr>
            <w:pStyle w:val="TOC3"/>
            <w:tabs>
              <w:tab w:val="left" w:pos="880"/>
            </w:tabs>
            <w:rPr>
              <w:rFonts w:eastAsiaTheme="minorEastAsia"/>
              <w:noProof/>
              <w:kern w:val="2"/>
              <w:sz w:val="24"/>
              <w:szCs w:val="24"/>
              <w14:ligatures w14:val="standardContextual"/>
            </w:rPr>
          </w:pPr>
          <w:hyperlink w:anchor="_Toc240536447" w:history="1">
            <w:r w:rsidRPr="005F6A36">
              <w:rPr>
                <w:rStyle w:val="Hyperlink"/>
                <w:noProof/>
                <w:sz w:val="24"/>
                <w:szCs w:val="24"/>
              </w:rPr>
              <w:t>2.3</w:t>
            </w:r>
            <w:r w:rsidRPr="005F6A36">
              <w:rPr>
                <w:rFonts w:eastAsiaTheme="minorEastAsia"/>
                <w:noProof/>
                <w:kern w:val="2"/>
                <w:sz w:val="24"/>
                <w:szCs w:val="24"/>
                <w14:ligatures w14:val="standardContextual"/>
              </w:rPr>
              <w:tab/>
            </w:r>
            <w:r w:rsidRPr="005F6A36">
              <w:rPr>
                <w:rStyle w:val="Hyperlink"/>
                <w:noProof/>
                <w:sz w:val="24"/>
                <w:szCs w:val="24"/>
              </w:rPr>
              <w:t>Legislative Compliance and Related Policies</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_Toc240536447 \h </w:instrText>
            </w:r>
            <w:r w:rsidRPr="005F6A36">
              <w:rPr>
                <w:noProof/>
                <w:webHidden/>
                <w:sz w:val="24"/>
                <w:szCs w:val="24"/>
              </w:rPr>
            </w:r>
            <w:r w:rsidRPr="005F6A36">
              <w:rPr>
                <w:noProof/>
                <w:webHidden/>
                <w:sz w:val="24"/>
                <w:szCs w:val="24"/>
              </w:rPr>
              <w:fldChar w:fldCharType="separate"/>
            </w:r>
            <w:r w:rsidR="002C7F3A">
              <w:rPr>
                <w:noProof/>
                <w:webHidden/>
                <w:sz w:val="24"/>
                <w:szCs w:val="24"/>
              </w:rPr>
              <w:t>10</w:t>
            </w:r>
            <w:r w:rsidRPr="005F6A36">
              <w:rPr>
                <w:noProof/>
                <w:webHidden/>
                <w:sz w:val="24"/>
                <w:szCs w:val="24"/>
              </w:rPr>
              <w:fldChar w:fldCharType="end"/>
            </w:r>
          </w:hyperlink>
        </w:p>
        <w:p w14:paraId="077E9400" w14:textId="296B6D66" w:rsidR="007822A5" w:rsidRPr="005F6A36" w:rsidRDefault="007822A5">
          <w:pPr>
            <w:pStyle w:val="TOC3"/>
            <w:tabs>
              <w:tab w:val="left" w:pos="880"/>
            </w:tabs>
            <w:rPr>
              <w:rFonts w:eastAsiaTheme="minorEastAsia"/>
              <w:noProof/>
              <w:kern w:val="2"/>
              <w:sz w:val="24"/>
              <w:szCs w:val="24"/>
              <w14:ligatures w14:val="standardContextual"/>
            </w:rPr>
          </w:pPr>
          <w:hyperlink w:anchor="_Toc240536448" w:history="1">
            <w:r w:rsidRPr="005F6A36">
              <w:rPr>
                <w:rStyle w:val="Hyperlink"/>
                <w:noProof/>
                <w:sz w:val="24"/>
                <w:szCs w:val="24"/>
              </w:rPr>
              <w:t>2.4</w:t>
            </w:r>
            <w:r w:rsidRPr="005F6A36">
              <w:rPr>
                <w:rFonts w:eastAsiaTheme="minorEastAsia"/>
                <w:noProof/>
                <w:kern w:val="2"/>
                <w:sz w:val="24"/>
                <w:szCs w:val="24"/>
                <w14:ligatures w14:val="standardContextual"/>
              </w:rPr>
              <w:tab/>
            </w:r>
            <w:r w:rsidRPr="005F6A36">
              <w:rPr>
                <w:rStyle w:val="Hyperlink"/>
                <w:noProof/>
                <w:sz w:val="24"/>
                <w:szCs w:val="24"/>
              </w:rPr>
              <w:t>Procurement during the Caretaker period</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_Toc240536448 \h </w:instrText>
            </w:r>
            <w:r w:rsidRPr="005F6A36">
              <w:rPr>
                <w:noProof/>
                <w:webHidden/>
                <w:sz w:val="24"/>
                <w:szCs w:val="24"/>
              </w:rPr>
            </w:r>
            <w:r w:rsidRPr="005F6A36">
              <w:rPr>
                <w:noProof/>
                <w:webHidden/>
                <w:sz w:val="24"/>
                <w:szCs w:val="24"/>
              </w:rPr>
              <w:fldChar w:fldCharType="separate"/>
            </w:r>
            <w:r w:rsidR="002C7F3A">
              <w:rPr>
                <w:noProof/>
                <w:webHidden/>
                <w:sz w:val="24"/>
                <w:szCs w:val="24"/>
              </w:rPr>
              <w:t>10</w:t>
            </w:r>
            <w:r w:rsidRPr="005F6A36">
              <w:rPr>
                <w:noProof/>
                <w:webHidden/>
                <w:sz w:val="24"/>
                <w:szCs w:val="24"/>
              </w:rPr>
              <w:fldChar w:fldCharType="end"/>
            </w:r>
          </w:hyperlink>
        </w:p>
        <w:p w14:paraId="1E007395" w14:textId="45A49BA3" w:rsidR="007822A5" w:rsidRPr="005F6A36" w:rsidRDefault="007822A5">
          <w:pPr>
            <w:pStyle w:val="TOC3"/>
            <w:tabs>
              <w:tab w:val="left" w:pos="880"/>
            </w:tabs>
            <w:rPr>
              <w:rFonts w:eastAsiaTheme="minorEastAsia"/>
              <w:noProof/>
              <w:kern w:val="2"/>
              <w:sz w:val="24"/>
              <w:szCs w:val="24"/>
              <w14:ligatures w14:val="standardContextual"/>
            </w:rPr>
          </w:pPr>
          <w:hyperlink w:anchor="_Toc240536449" w:history="1">
            <w:r w:rsidRPr="005F6A36">
              <w:rPr>
                <w:rStyle w:val="Hyperlink"/>
                <w:noProof/>
                <w:sz w:val="24"/>
                <w:szCs w:val="24"/>
              </w:rPr>
              <w:t>2.5</w:t>
            </w:r>
            <w:r w:rsidRPr="005F6A36">
              <w:rPr>
                <w:rFonts w:eastAsiaTheme="minorEastAsia"/>
                <w:noProof/>
                <w:kern w:val="2"/>
                <w:sz w:val="24"/>
                <w:szCs w:val="24"/>
                <w14:ligatures w14:val="standardContextual"/>
              </w:rPr>
              <w:tab/>
            </w:r>
            <w:r w:rsidRPr="005F6A36">
              <w:rPr>
                <w:rStyle w:val="Hyperlink"/>
                <w:noProof/>
                <w:sz w:val="24"/>
                <w:szCs w:val="24"/>
              </w:rPr>
              <w:t>Digital Systems, ERP and Cyber Risk</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_Toc240536449 \h </w:instrText>
            </w:r>
            <w:r w:rsidRPr="005F6A36">
              <w:rPr>
                <w:noProof/>
                <w:webHidden/>
                <w:sz w:val="24"/>
                <w:szCs w:val="24"/>
              </w:rPr>
            </w:r>
            <w:r w:rsidRPr="005F6A36">
              <w:rPr>
                <w:noProof/>
                <w:webHidden/>
                <w:sz w:val="24"/>
                <w:szCs w:val="24"/>
              </w:rPr>
              <w:fldChar w:fldCharType="separate"/>
            </w:r>
            <w:r w:rsidR="002C7F3A">
              <w:rPr>
                <w:noProof/>
                <w:webHidden/>
                <w:sz w:val="24"/>
                <w:szCs w:val="24"/>
              </w:rPr>
              <w:t>11</w:t>
            </w:r>
            <w:r w:rsidRPr="005F6A36">
              <w:rPr>
                <w:noProof/>
                <w:webHidden/>
                <w:sz w:val="24"/>
                <w:szCs w:val="24"/>
              </w:rPr>
              <w:fldChar w:fldCharType="end"/>
            </w:r>
          </w:hyperlink>
        </w:p>
        <w:p w14:paraId="125EDBB8" w14:textId="58019D94" w:rsidR="007822A5" w:rsidRPr="005F6A36" w:rsidRDefault="007822A5">
          <w:pPr>
            <w:pStyle w:val="TOC3"/>
            <w:tabs>
              <w:tab w:val="left" w:pos="880"/>
            </w:tabs>
            <w:rPr>
              <w:rFonts w:eastAsiaTheme="minorEastAsia"/>
              <w:noProof/>
              <w:kern w:val="2"/>
              <w:sz w:val="24"/>
              <w:szCs w:val="24"/>
              <w14:ligatures w14:val="standardContextual"/>
            </w:rPr>
          </w:pPr>
          <w:hyperlink w:anchor="_Toc240536450" w:history="1">
            <w:r w:rsidRPr="005F6A36">
              <w:rPr>
                <w:rStyle w:val="Hyperlink"/>
                <w:noProof/>
                <w:sz w:val="24"/>
                <w:szCs w:val="24"/>
              </w:rPr>
              <w:t>2.6</w:t>
            </w:r>
            <w:r w:rsidRPr="005F6A36">
              <w:rPr>
                <w:rFonts w:eastAsiaTheme="minorEastAsia"/>
                <w:noProof/>
                <w:kern w:val="2"/>
                <w:sz w:val="24"/>
                <w:szCs w:val="24"/>
                <w14:ligatures w14:val="standardContextual"/>
              </w:rPr>
              <w:tab/>
            </w:r>
            <w:r w:rsidRPr="005F6A36">
              <w:rPr>
                <w:rStyle w:val="Hyperlink"/>
                <w:noProof/>
                <w:sz w:val="24"/>
                <w:szCs w:val="24"/>
              </w:rPr>
              <w:t>Policy Non-Compliance</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_Toc240536450 \h </w:instrText>
            </w:r>
            <w:r w:rsidRPr="005F6A36">
              <w:rPr>
                <w:noProof/>
                <w:webHidden/>
                <w:sz w:val="24"/>
                <w:szCs w:val="24"/>
              </w:rPr>
            </w:r>
            <w:r w:rsidRPr="005F6A36">
              <w:rPr>
                <w:noProof/>
                <w:webHidden/>
                <w:sz w:val="24"/>
                <w:szCs w:val="24"/>
              </w:rPr>
              <w:fldChar w:fldCharType="separate"/>
            </w:r>
            <w:r w:rsidR="002C7F3A">
              <w:rPr>
                <w:noProof/>
                <w:webHidden/>
                <w:sz w:val="24"/>
                <w:szCs w:val="24"/>
              </w:rPr>
              <w:t>12</w:t>
            </w:r>
            <w:r w:rsidRPr="005F6A36">
              <w:rPr>
                <w:noProof/>
                <w:webHidden/>
                <w:sz w:val="24"/>
                <w:szCs w:val="24"/>
              </w:rPr>
              <w:fldChar w:fldCharType="end"/>
            </w:r>
          </w:hyperlink>
        </w:p>
        <w:p w14:paraId="5C1FEB59" w14:textId="18B5A93B" w:rsidR="007822A5" w:rsidRPr="005F6A36" w:rsidRDefault="007822A5">
          <w:pPr>
            <w:pStyle w:val="TOC3"/>
            <w:tabs>
              <w:tab w:val="left" w:pos="880"/>
            </w:tabs>
            <w:rPr>
              <w:rFonts w:eastAsiaTheme="minorEastAsia"/>
              <w:noProof/>
              <w:kern w:val="2"/>
              <w:sz w:val="24"/>
              <w:szCs w:val="24"/>
              <w14:ligatures w14:val="standardContextual"/>
            </w:rPr>
          </w:pPr>
          <w:hyperlink w:anchor="_Toc240536451" w:history="1">
            <w:r w:rsidRPr="005F6A36">
              <w:rPr>
                <w:rStyle w:val="Hyperlink"/>
                <w:noProof/>
                <w:sz w:val="24"/>
                <w:szCs w:val="24"/>
              </w:rPr>
              <w:t>2.7</w:t>
            </w:r>
            <w:r w:rsidRPr="005F6A36">
              <w:rPr>
                <w:rFonts w:eastAsiaTheme="minorEastAsia"/>
                <w:noProof/>
                <w:kern w:val="2"/>
                <w:sz w:val="24"/>
                <w:szCs w:val="24"/>
                <w14:ligatures w14:val="standardContextual"/>
              </w:rPr>
              <w:tab/>
            </w:r>
            <w:r w:rsidRPr="005F6A36">
              <w:rPr>
                <w:rStyle w:val="Hyperlink"/>
                <w:noProof/>
                <w:sz w:val="24"/>
                <w:szCs w:val="24"/>
              </w:rPr>
              <w:t>Policy Review Process</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_Toc240536451 \h </w:instrText>
            </w:r>
            <w:r w:rsidRPr="005F6A36">
              <w:rPr>
                <w:noProof/>
                <w:webHidden/>
                <w:sz w:val="24"/>
                <w:szCs w:val="24"/>
              </w:rPr>
            </w:r>
            <w:r w:rsidRPr="005F6A36">
              <w:rPr>
                <w:noProof/>
                <w:webHidden/>
                <w:sz w:val="24"/>
                <w:szCs w:val="24"/>
              </w:rPr>
              <w:fldChar w:fldCharType="separate"/>
            </w:r>
            <w:r w:rsidR="002C7F3A">
              <w:rPr>
                <w:noProof/>
                <w:webHidden/>
                <w:sz w:val="24"/>
                <w:szCs w:val="24"/>
              </w:rPr>
              <w:t>12</w:t>
            </w:r>
            <w:r w:rsidRPr="005F6A36">
              <w:rPr>
                <w:noProof/>
                <w:webHidden/>
                <w:sz w:val="24"/>
                <w:szCs w:val="24"/>
              </w:rPr>
              <w:fldChar w:fldCharType="end"/>
            </w:r>
          </w:hyperlink>
        </w:p>
        <w:p w14:paraId="4F949670" w14:textId="42441407" w:rsidR="007822A5" w:rsidRPr="005F6A36" w:rsidRDefault="007822A5">
          <w:pPr>
            <w:pStyle w:val="TOC3"/>
            <w:tabs>
              <w:tab w:val="left" w:pos="880"/>
            </w:tabs>
            <w:rPr>
              <w:rFonts w:eastAsiaTheme="minorEastAsia"/>
              <w:noProof/>
              <w:kern w:val="2"/>
              <w:sz w:val="24"/>
              <w:szCs w:val="24"/>
              <w14:ligatures w14:val="standardContextual"/>
            </w:rPr>
          </w:pPr>
          <w:hyperlink w:anchor="_Toc240536452" w:history="1">
            <w:r w:rsidRPr="005F6A36">
              <w:rPr>
                <w:rStyle w:val="Hyperlink"/>
                <w:noProof/>
                <w:sz w:val="24"/>
                <w:szCs w:val="24"/>
              </w:rPr>
              <w:t>2.8</w:t>
            </w:r>
            <w:r w:rsidRPr="005F6A36">
              <w:rPr>
                <w:rFonts w:eastAsiaTheme="minorEastAsia"/>
                <w:noProof/>
                <w:kern w:val="2"/>
                <w:sz w:val="24"/>
                <w:szCs w:val="24"/>
                <w14:ligatures w14:val="standardContextual"/>
              </w:rPr>
              <w:tab/>
            </w:r>
            <w:r w:rsidRPr="005F6A36">
              <w:rPr>
                <w:rStyle w:val="Hyperlink"/>
                <w:noProof/>
                <w:sz w:val="24"/>
                <w:szCs w:val="24"/>
              </w:rPr>
              <w:t>Procurement Manual</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_Toc240536452 \h </w:instrText>
            </w:r>
            <w:r w:rsidRPr="005F6A36">
              <w:rPr>
                <w:noProof/>
                <w:webHidden/>
                <w:sz w:val="24"/>
                <w:szCs w:val="24"/>
              </w:rPr>
            </w:r>
            <w:r w:rsidRPr="005F6A36">
              <w:rPr>
                <w:noProof/>
                <w:webHidden/>
                <w:sz w:val="24"/>
                <w:szCs w:val="24"/>
              </w:rPr>
              <w:fldChar w:fldCharType="separate"/>
            </w:r>
            <w:r w:rsidR="002C7F3A">
              <w:rPr>
                <w:noProof/>
                <w:webHidden/>
                <w:sz w:val="24"/>
                <w:szCs w:val="24"/>
              </w:rPr>
              <w:t>13</w:t>
            </w:r>
            <w:r w:rsidRPr="005F6A36">
              <w:rPr>
                <w:noProof/>
                <w:webHidden/>
                <w:sz w:val="24"/>
                <w:szCs w:val="24"/>
              </w:rPr>
              <w:fldChar w:fldCharType="end"/>
            </w:r>
          </w:hyperlink>
        </w:p>
        <w:p w14:paraId="125C301D" w14:textId="375E0DEF" w:rsidR="007822A5" w:rsidRPr="005F6A36" w:rsidRDefault="007822A5">
          <w:pPr>
            <w:pStyle w:val="TOC3"/>
            <w:tabs>
              <w:tab w:val="left" w:pos="880"/>
            </w:tabs>
            <w:rPr>
              <w:rFonts w:eastAsiaTheme="minorEastAsia"/>
              <w:noProof/>
              <w:kern w:val="2"/>
              <w:sz w:val="24"/>
              <w:szCs w:val="24"/>
              <w14:ligatures w14:val="standardContextual"/>
            </w:rPr>
          </w:pPr>
          <w:hyperlink w:anchor="_Toc240536453" w:history="1">
            <w:r w:rsidRPr="005F6A36">
              <w:rPr>
                <w:rStyle w:val="Hyperlink"/>
                <w:noProof/>
                <w:sz w:val="24"/>
                <w:szCs w:val="24"/>
              </w:rPr>
              <w:t>2.9</w:t>
            </w:r>
            <w:r w:rsidRPr="005F6A36">
              <w:rPr>
                <w:rFonts w:eastAsiaTheme="minorEastAsia"/>
                <w:noProof/>
                <w:kern w:val="2"/>
                <w:sz w:val="24"/>
                <w:szCs w:val="24"/>
                <w14:ligatures w14:val="standardContextual"/>
              </w:rPr>
              <w:tab/>
            </w:r>
            <w:r w:rsidRPr="005F6A36">
              <w:rPr>
                <w:rStyle w:val="Hyperlink"/>
                <w:noProof/>
                <w:sz w:val="24"/>
                <w:szCs w:val="24"/>
              </w:rPr>
              <w:t>GST</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_Toc240536453 \h </w:instrText>
            </w:r>
            <w:r w:rsidRPr="005F6A36">
              <w:rPr>
                <w:noProof/>
                <w:webHidden/>
                <w:sz w:val="24"/>
                <w:szCs w:val="24"/>
              </w:rPr>
            </w:r>
            <w:r w:rsidRPr="005F6A36">
              <w:rPr>
                <w:noProof/>
                <w:webHidden/>
                <w:sz w:val="24"/>
                <w:szCs w:val="24"/>
              </w:rPr>
              <w:fldChar w:fldCharType="separate"/>
            </w:r>
            <w:r w:rsidR="002C7F3A">
              <w:rPr>
                <w:noProof/>
                <w:webHidden/>
                <w:sz w:val="24"/>
                <w:szCs w:val="24"/>
              </w:rPr>
              <w:t>13</w:t>
            </w:r>
            <w:r w:rsidRPr="005F6A36">
              <w:rPr>
                <w:noProof/>
                <w:webHidden/>
                <w:sz w:val="24"/>
                <w:szCs w:val="24"/>
              </w:rPr>
              <w:fldChar w:fldCharType="end"/>
            </w:r>
          </w:hyperlink>
        </w:p>
        <w:p w14:paraId="75AE91D0" w14:textId="520550F8" w:rsidR="007822A5" w:rsidRPr="005F6A36" w:rsidRDefault="007822A5">
          <w:pPr>
            <w:pStyle w:val="TOC1"/>
            <w:tabs>
              <w:tab w:val="left" w:pos="660"/>
            </w:tabs>
            <w:rPr>
              <w:rFonts w:ascii="Arial" w:eastAsiaTheme="minorEastAsia" w:hAnsi="Arial"/>
              <w:noProof/>
              <w:color w:val="auto"/>
              <w:kern w:val="2"/>
              <w:sz w:val="24"/>
              <w:szCs w:val="24"/>
              <w14:ligatures w14:val="standardContextual"/>
            </w:rPr>
          </w:pPr>
          <w:hyperlink w:anchor="_Toc240536454" w:history="1">
            <w:r w:rsidRPr="005F6A36">
              <w:rPr>
                <w:rStyle w:val="Hyperlink"/>
                <w:rFonts w:ascii="Arial" w:hAnsi="Arial"/>
                <w:noProof/>
                <w:sz w:val="24"/>
                <w:szCs w:val="24"/>
              </w:rPr>
              <w:t>3.</w:t>
            </w:r>
            <w:r w:rsidRPr="005F6A36">
              <w:rPr>
                <w:rFonts w:ascii="Arial" w:eastAsiaTheme="minorEastAsia" w:hAnsi="Arial"/>
                <w:noProof/>
                <w:color w:val="auto"/>
                <w:kern w:val="2"/>
                <w:sz w:val="24"/>
                <w:szCs w:val="24"/>
                <w14:ligatures w14:val="standardContextual"/>
              </w:rPr>
              <w:tab/>
            </w:r>
            <w:r w:rsidRPr="005F6A36">
              <w:rPr>
                <w:rStyle w:val="Hyperlink"/>
                <w:rFonts w:ascii="Arial" w:hAnsi="Arial"/>
                <w:noProof/>
                <w:sz w:val="24"/>
                <w:szCs w:val="24"/>
              </w:rPr>
              <w:t>Organisation Procurement Structure</w:t>
            </w:r>
            <w:r w:rsidRPr="005F6A36">
              <w:rPr>
                <w:rFonts w:ascii="Arial" w:hAnsi="Arial"/>
                <w:noProof/>
                <w:webHidden/>
                <w:sz w:val="24"/>
                <w:szCs w:val="24"/>
              </w:rPr>
              <w:tab/>
            </w:r>
            <w:r w:rsidRPr="005F6A36">
              <w:rPr>
                <w:rFonts w:ascii="Arial" w:hAnsi="Arial"/>
                <w:noProof/>
                <w:webHidden/>
                <w:sz w:val="24"/>
                <w:szCs w:val="24"/>
              </w:rPr>
              <w:fldChar w:fldCharType="begin"/>
            </w:r>
            <w:r w:rsidRPr="005F6A36">
              <w:rPr>
                <w:rFonts w:ascii="Arial" w:hAnsi="Arial"/>
                <w:noProof/>
                <w:webHidden/>
                <w:sz w:val="24"/>
                <w:szCs w:val="24"/>
              </w:rPr>
              <w:instrText xml:space="preserve"> PAGEREF _Toc240536454 \h </w:instrText>
            </w:r>
            <w:r w:rsidRPr="005F6A36">
              <w:rPr>
                <w:rFonts w:ascii="Arial" w:hAnsi="Arial"/>
                <w:noProof/>
                <w:webHidden/>
                <w:sz w:val="24"/>
                <w:szCs w:val="24"/>
              </w:rPr>
            </w:r>
            <w:r w:rsidRPr="005F6A36">
              <w:rPr>
                <w:rFonts w:ascii="Arial" w:hAnsi="Arial"/>
                <w:noProof/>
                <w:webHidden/>
                <w:sz w:val="24"/>
                <w:szCs w:val="24"/>
              </w:rPr>
              <w:fldChar w:fldCharType="separate"/>
            </w:r>
            <w:r w:rsidR="002C7F3A">
              <w:rPr>
                <w:rFonts w:ascii="Arial" w:hAnsi="Arial"/>
                <w:noProof/>
                <w:webHidden/>
                <w:sz w:val="24"/>
                <w:szCs w:val="24"/>
              </w:rPr>
              <w:t>13</w:t>
            </w:r>
            <w:r w:rsidRPr="005F6A36">
              <w:rPr>
                <w:rFonts w:ascii="Arial" w:hAnsi="Arial"/>
                <w:noProof/>
                <w:webHidden/>
                <w:sz w:val="24"/>
                <w:szCs w:val="24"/>
              </w:rPr>
              <w:fldChar w:fldCharType="end"/>
            </w:r>
          </w:hyperlink>
        </w:p>
        <w:p w14:paraId="451CCB21" w14:textId="6DD5494B" w:rsidR="007822A5" w:rsidRPr="005F6A36" w:rsidRDefault="007822A5">
          <w:pPr>
            <w:pStyle w:val="TOC3"/>
            <w:tabs>
              <w:tab w:val="left" w:pos="880"/>
            </w:tabs>
            <w:rPr>
              <w:rFonts w:eastAsiaTheme="minorEastAsia"/>
              <w:noProof/>
              <w:kern w:val="2"/>
              <w:sz w:val="24"/>
              <w:szCs w:val="24"/>
              <w14:ligatures w14:val="standardContextual"/>
            </w:rPr>
          </w:pPr>
          <w:hyperlink w:anchor="_Toc240536455" w:history="1">
            <w:r w:rsidRPr="005F6A36">
              <w:rPr>
                <w:rStyle w:val="Hyperlink"/>
                <w:noProof/>
                <w:sz w:val="24"/>
                <w:szCs w:val="24"/>
              </w:rPr>
              <w:t>3.1</w:t>
            </w:r>
            <w:r w:rsidRPr="005F6A36">
              <w:rPr>
                <w:rFonts w:eastAsiaTheme="minorEastAsia"/>
                <w:noProof/>
                <w:kern w:val="2"/>
                <w:sz w:val="24"/>
                <w:szCs w:val="24"/>
                <w14:ligatures w14:val="standardContextual"/>
              </w:rPr>
              <w:tab/>
            </w:r>
            <w:r w:rsidRPr="005F6A36">
              <w:rPr>
                <w:rStyle w:val="Hyperlink"/>
                <w:noProof/>
                <w:sz w:val="24"/>
                <w:szCs w:val="24"/>
              </w:rPr>
              <w:t>Business Case requirements</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_Toc240536455 \h </w:instrText>
            </w:r>
            <w:r w:rsidRPr="005F6A36">
              <w:rPr>
                <w:noProof/>
                <w:webHidden/>
                <w:sz w:val="24"/>
                <w:szCs w:val="24"/>
              </w:rPr>
            </w:r>
            <w:r w:rsidRPr="005F6A36">
              <w:rPr>
                <w:noProof/>
                <w:webHidden/>
                <w:sz w:val="24"/>
                <w:szCs w:val="24"/>
              </w:rPr>
              <w:fldChar w:fldCharType="separate"/>
            </w:r>
            <w:r w:rsidR="002C7F3A">
              <w:rPr>
                <w:noProof/>
                <w:webHidden/>
                <w:sz w:val="24"/>
                <w:szCs w:val="24"/>
              </w:rPr>
              <w:t>13</w:t>
            </w:r>
            <w:r w:rsidRPr="005F6A36">
              <w:rPr>
                <w:noProof/>
                <w:webHidden/>
                <w:sz w:val="24"/>
                <w:szCs w:val="24"/>
              </w:rPr>
              <w:fldChar w:fldCharType="end"/>
            </w:r>
          </w:hyperlink>
        </w:p>
        <w:p w14:paraId="7CA9807C" w14:textId="31F759E8" w:rsidR="007822A5" w:rsidRPr="005F6A36" w:rsidRDefault="007822A5">
          <w:pPr>
            <w:pStyle w:val="TOC1"/>
            <w:tabs>
              <w:tab w:val="left" w:pos="660"/>
            </w:tabs>
            <w:rPr>
              <w:rFonts w:ascii="Arial" w:eastAsiaTheme="minorEastAsia" w:hAnsi="Arial"/>
              <w:noProof/>
              <w:color w:val="auto"/>
              <w:kern w:val="2"/>
              <w:sz w:val="24"/>
              <w:szCs w:val="24"/>
              <w14:ligatures w14:val="standardContextual"/>
            </w:rPr>
          </w:pPr>
          <w:hyperlink w:anchor="_Toc240536456" w:history="1">
            <w:r w:rsidRPr="005F6A36">
              <w:rPr>
                <w:rStyle w:val="Hyperlink"/>
                <w:rFonts w:ascii="Arial" w:hAnsi="Arial"/>
                <w:noProof/>
                <w:sz w:val="24"/>
                <w:szCs w:val="24"/>
              </w:rPr>
              <w:t>4.</w:t>
            </w:r>
            <w:r w:rsidRPr="005F6A36">
              <w:rPr>
                <w:rFonts w:ascii="Arial" w:eastAsiaTheme="minorEastAsia" w:hAnsi="Arial"/>
                <w:noProof/>
                <w:color w:val="auto"/>
                <w:kern w:val="2"/>
                <w:sz w:val="24"/>
                <w:szCs w:val="24"/>
                <w14:ligatures w14:val="standardContextual"/>
              </w:rPr>
              <w:tab/>
            </w:r>
            <w:r w:rsidRPr="005F6A36">
              <w:rPr>
                <w:rStyle w:val="Hyperlink"/>
                <w:rFonts w:ascii="Arial" w:hAnsi="Arial"/>
                <w:noProof/>
                <w:sz w:val="24"/>
                <w:szCs w:val="24"/>
              </w:rPr>
              <w:t>Procurement Methods</w:t>
            </w:r>
            <w:r w:rsidRPr="005F6A36">
              <w:rPr>
                <w:rFonts w:ascii="Arial" w:hAnsi="Arial"/>
                <w:noProof/>
                <w:webHidden/>
                <w:sz w:val="24"/>
                <w:szCs w:val="24"/>
              </w:rPr>
              <w:tab/>
            </w:r>
            <w:r w:rsidRPr="005F6A36">
              <w:rPr>
                <w:rFonts w:ascii="Arial" w:hAnsi="Arial"/>
                <w:noProof/>
                <w:webHidden/>
                <w:sz w:val="24"/>
                <w:szCs w:val="24"/>
              </w:rPr>
              <w:fldChar w:fldCharType="begin"/>
            </w:r>
            <w:r w:rsidRPr="005F6A36">
              <w:rPr>
                <w:rFonts w:ascii="Arial" w:hAnsi="Arial"/>
                <w:noProof/>
                <w:webHidden/>
                <w:sz w:val="24"/>
                <w:szCs w:val="24"/>
              </w:rPr>
              <w:instrText xml:space="preserve"> PAGEREF _Toc240536456 \h </w:instrText>
            </w:r>
            <w:r w:rsidRPr="005F6A36">
              <w:rPr>
                <w:rFonts w:ascii="Arial" w:hAnsi="Arial"/>
                <w:noProof/>
                <w:webHidden/>
                <w:sz w:val="24"/>
                <w:szCs w:val="24"/>
              </w:rPr>
            </w:r>
            <w:r w:rsidRPr="005F6A36">
              <w:rPr>
                <w:rFonts w:ascii="Arial" w:hAnsi="Arial"/>
                <w:noProof/>
                <w:webHidden/>
                <w:sz w:val="24"/>
                <w:szCs w:val="24"/>
              </w:rPr>
              <w:fldChar w:fldCharType="separate"/>
            </w:r>
            <w:r w:rsidR="002C7F3A">
              <w:rPr>
                <w:rFonts w:ascii="Arial" w:hAnsi="Arial"/>
                <w:noProof/>
                <w:webHidden/>
                <w:sz w:val="24"/>
                <w:szCs w:val="24"/>
              </w:rPr>
              <w:t>14</w:t>
            </w:r>
            <w:r w:rsidRPr="005F6A36">
              <w:rPr>
                <w:rFonts w:ascii="Arial" w:hAnsi="Arial"/>
                <w:noProof/>
                <w:webHidden/>
                <w:sz w:val="24"/>
                <w:szCs w:val="24"/>
              </w:rPr>
              <w:fldChar w:fldCharType="end"/>
            </w:r>
          </w:hyperlink>
        </w:p>
        <w:p w14:paraId="0DB30A8A" w14:textId="4C87D4C0" w:rsidR="007822A5" w:rsidRPr="005F6A36" w:rsidRDefault="007822A5">
          <w:pPr>
            <w:pStyle w:val="TOC3"/>
            <w:tabs>
              <w:tab w:val="left" w:pos="880"/>
            </w:tabs>
            <w:rPr>
              <w:rFonts w:eastAsiaTheme="minorEastAsia"/>
              <w:noProof/>
              <w:kern w:val="2"/>
              <w:sz w:val="24"/>
              <w:szCs w:val="24"/>
              <w14:ligatures w14:val="standardContextual"/>
            </w:rPr>
          </w:pPr>
          <w:hyperlink w:anchor="_Toc240536457" w:history="1">
            <w:r w:rsidRPr="005F6A36">
              <w:rPr>
                <w:rStyle w:val="Hyperlink"/>
                <w:noProof/>
                <w:sz w:val="24"/>
                <w:szCs w:val="24"/>
              </w:rPr>
              <w:t>4.1</w:t>
            </w:r>
            <w:r w:rsidRPr="005F6A36">
              <w:rPr>
                <w:rFonts w:eastAsiaTheme="minorEastAsia"/>
                <w:noProof/>
                <w:kern w:val="2"/>
                <w:sz w:val="24"/>
                <w:szCs w:val="24"/>
                <w14:ligatures w14:val="standardContextual"/>
              </w:rPr>
              <w:tab/>
            </w:r>
            <w:r w:rsidRPr="005F6A36">
              <w:rPr>
                <w:rStyle w:val="Hyperlink"/>
                <w:noProof/>
                <w:sz w:val="24"/>
                <w:szCs w:val="24"/>
              </w:rPr>
              <w:t>Procurement Thresholds and Competition</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_Toc240536457 \h </w:instrText>
            </w:r>
            <w:r w:rsidRPr="005F6A36">
              <w:rPr>
                <w:noProof/>
                <w:webHidden/>
                <w:sz w:val="24"/>
                <w:szCs w:val="24"/>
              </w:rPr>
            </w:r>
            <w:r w:rsidRPr="005F6A36">
              <w:rPr>
                <w:noProof/>
                <w:webHidden/>
                <w:sz w:val="24"/>
                <w:szCs w:val="24"/>
              </w:rPr>
              <w:fldChar w:fldCharType="separate"/>
            </w:r>
            <w:r w:rsidR="002C7F3A">
              <w:rPr>
                <w:noProof/>
                <w:webHidden/>
                <w:sz w:val="24"/>
                <w:szCs w:val="24"/>
              </w:rPr>
              <w:t>15</w:t>
            </w:r>
            <w:r w:rsidRPr="005F6A36">
              <w:rPr>
                <w:noProof/>
                <w:webHidden/>
                <w:sz w:val="24"/>
                <w:szCs w:val="24"/>
              </w:rPr>
              <w:fldChar w:fldCharType="end"/>
            </w:r>
          </w:hyperlink>
        </w:p>
        <w:p w14:paraId="28A7FC6B" w14:textId="331C5179" w:rsidR="007822A5" w:rsidRPr="005F6A36" w:rsidRDefault="007822A5">
          <w:pPr>
            <w:pStyle w:val="TOC3"/>
            <w:tabs>
              <w:tab w:val="left" w:pos="880"/>
            </w:tabs>
            <w:rPr>
              <w:rFonts w:eastAsiaTheme="minorEastAsia"/>
              <w:noProof/>
              <w:kern w:val="2"/>
              <w:sz w:val="24"/>
              <w:szCs w:val="24"/>
              <w14:ligatures w14:val="standardContextual"/>
            </w:rPr>
          </w:pPr>
          <w:hyperlink w:anchor="_Toc240536458" w:history="1">
            <w:r w:rsidRPr="005F6A36">
              <w:rPr>
                <w:rStyle w:val="Hyperlink"/>
                <w:noProof/>
                <w:sz w:val="24"/>
                <w:szCs w:val="24"/>
              </w:rPr>
              <w:t>4.2</w:t>
            </w:r>
            <w:r w:rsidRPr="005F6A36">
              <w:rPr>
                <w:rFonts w:eastAsiaTheme="minorEastAsia"/>
                <w:noProof/>
                <w:kern w:val="2"/>
                <w:sz w:val="24"/>
                <w:szCs w:val="24"/>
                <w14:ligatures w14:val="standardContextual"/>
              </w:rPr>
              <w:tab/>
            </w:r>
            <w:r w:rsidRPr="005F6A36">
              <w:rPr>
                <w:rStyle w:val="Hyperlink"/>
                <w:noProof/>
                <w:sz w:val="24"/>
                <w:szCs w:val="24"/>
              </w:rPr>
              <w:t>Tenders</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_Toc240536458 \h </w:instrText>
            </w:r>
            <w:r w:rsidRPr="005F6A36">
              <w:rPr>
                <w:noProof/>
                <w:webHidden/>
                <w:sz w:val="24"/>
                <w:szCs w:val="24"/>
              </w:rPr>
            </w:r>
            <w:r w:rsidRPr="005F6A36">
              <w:rPr>
                <w:noProof/>
                <w:webHidden/>
                <w:sz w:val="24"/>
                <w:szCs w:val="24"/>
              </w:rPr>
              <w:fldChar w:fldCharType="separate"/>
            </w:r>
            <w:r w:rsidR="002C7F3A">
              <w:rPr>
                <w:noProof/>
                <w:webHidden/>
                <w:sz w:val="24"/>
                <w:szCs w:val="24"/>
              </w:rPr>
              <w:t>16</w:t>
            </w:r>
            <w:r w:rsidRPr="005F6A36">
              <w:rPr>
                <w:noProof/>
                <w:webHidden/>
                <w:sz w:val="24"/>
                <w:szCs w:val="24"/>
              </w:rPr>
              <w:fldChar w:fldCharType="end"/>
            </w:r>
          </w:hyperlink>
        </w:p>
        <w:p w14:paraId="4F8B55C2" w14:textId="06C2AB45" w:rsidR="007822A5" w:rsidRPr="005F6A36" w:rsidRDefault="007822A5">
          <w:pPr>
            <w:pStyle w:val="TOC3"/>
            <w:tabs>
              <w:tab w:val="left" w:pos="880"/>
            </w:tabs>
            <w:rPr>
              <w:rFonts w:eastAsiaTheme="minorEastAsia"/>
              <w:noProof/>
              <w:kern w:val="2"/>
              <w:sz w:val="24"/>
              <w:szCs w:val="24"/>
              <w14:ligatures w14:val="standardContextual"/>
            </w:rPr>
          </w:pPr>
          <w:hyperlink w:anchor="_Toc240536459" w:history="1">
            <w:r w:rsidRPr="005F6A36">
              <w:rPr>
                <w:rStyle w:val="Hyperlink"/>
                <w:noProof/>
                <w:sz w:val="24"/>
                <w:szCs w:val="24"/>
              </w:rPr>
              <w:t>4.3</w:t>
            </w:r>
            <w:r w:rsidRPr="005F6A36">
              <w:rPr>
                <w:rFonts w:eastAsiaTheme="minorEastAsia"/>
                <w:noProof/>
                <w:kern w:val="2"/>
                <w:sz w:val="24"/>
                <w:szCs w:val="24"/>
                <w14:ligatures w14:val="standardContextual"/>
              </w:rPr>
              <w:tab/>
            </w:r>
            <w:r w:rsidRPr="005F6A36">
              <w:rPr>
                <w:rStyle w:val="Hyperlink"/>
                <w:noProof/>
                <w:sz w:val="24"/>
                <w:szCs w:val="24"/>
              </w:rPr>
              <w:t>Tender evaluation</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_Toc240536459 \h </w:instrText>
            </w:r>
            <w:r w:rsidRPr="005F6A36">
              <w:rPr>
                <w:noProof/>
                <w:webHidden/>
                <w:sz w:val="24"/>
                <w:szCs w:val="24"/>
              </w:rPr>
            </w:r>
            <w:r w:rsidRPr="005F6A36">
              <w:rPr>
                <w:noProof/>
                <w:webHidden/>
                <w:sz w:val="24"/>
                <w:szCs w:val="24"/>
              </w:rPr>
              <w:fldChar w:fldCharType="separate"/>
            </w:r>
            <w:r w:rsidR="002C7F3A">
              <w:rPr>
                <w:noProof/>
                <w:webHidden/>
                <w:sz w:val="24"/>
                <w:szCs w:val="24"/>
              </w:rPr>
              <w:t>16</w:t>
            </w:r>
            <w:r w:rsidRPr="005F6A36">
              <w:rPr>
                <w:noProof/>
                <w:webHidden/>
                <w:sz w:val="24"/>
                <w:szCs w:val="24"/>
              </w:rPr>
              <w:fldChar w:fldCharType="end"/>
            </w:r>
          </w:hyperlink>
        </w:p>
        <w:p w14:paraId="2F65D8DB" w14:textId="7789E864" w:rsidR="007822A5" w:rsidRPr="005F6A36" w:rsidRDefault="007822A5">
          <w:pPr>
            <w:pStyle w:val="TOC3"/>
            <w:tabs>
              <w:tab w:val="left" w:pos="880"/>
            </w:tabs>
            <w:rPr>
              <w:rFonts w:eastAsiaTheme="minorEastAsia"/>
              <w:noProof/>
              <w:kern w:val="2"/>
              <w:sz w:val="24"/>
              <w:szCs w:val="24"/>
              <w14:ligatures w14:val="standardContextual"/>
            </w:rPr>
          </w:pPr>
          <w:hyperlink w:anchor="_Toc240536460" w:history="1">
            <w:r w:rsidRPr="005F6A36">
              <w:rPr>
                <w:rStyle w:val="Hyperlink"/>
                <w:noProof/>
                <w:sz w:val="24"/>
                <w:szCs w:val="24"/>
              </w:rPr>
              <w:t>4.4</w:t>
            </w:r>
            <w:r w:rsidRPr="005F6A36">
              <w:rPr>
                <w:rFonts w:eastAsiaTheme="minorEastAsia"/>
                <w:noProof/>
                <w:kern w:val="2"/>
                <w:sz w:val="24"/>
                <w:szCs w:val="24"/>
                <w14:ligatures w14:val="standardContextual"/>
              </w:rPr>
              <w:tab/>
            </w:r>
            <w:r w:rsidRPr="005F6A36">
              <w:rPr>
                <w:rStyle w:val="Hyperlink"/>
                <w:noProof/>
                <w:sz w:val="24"/>
                <w:szCs w:val="24"/>
              </w:rPr>
              <w:t>Evaluation Criteria</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_Toc240536460 \h </w:instrText>
            </w:r>
            <w:r w:rsidRPr="005F6A36">
              <w:rPr>
                <w:noProof/>
                <w:webHidden/>
                <w:sz w:val="24"/>
                <w:szCs w:val="24"/>
              </w:rPr>
            </w:r>
            <w:r w:rsidRPr="005F6A36">
              <w:rPr>
                <w:noProof/>
                <w:webHidden/>
                <w:sz w:val="24"/>
                <w:szCs w:val="24"/>
              </w:rPr>
              <w:fldChar w:fldCharType="separate"/>
            </w:r>
            <w:r w:rsidR="002C7F3A">
              <w:rPr>
                <w:noProof/>
                <w:webHidden/>
                <w:sz w:val="24"/>
                <w:szCs w:val="24"/>
              </w:rPr>
              <w:t>16</w:t>
            </w:r>
            <w:r w:rsidRPr="005F6A36">
              <w:rPr>
                <w:noProof/>
                <w:webHidden/>
                <w:sz w:val="24"/>
                <w:szCs w:val="24"/>
              </w:rPr>
              <w:fldChar w:fldCharType="end"/>
            </w:r>
          </w:hyperlink>
        </w:p>
        <w:p w14:paraId="713D1A2E" w14:textId="60C9D590" w:rsidR="007822A5" w:rsidRPr="005F6A36" w:rsidRDefault="007822A5">
          <w:pPr>
            <w:pStyle w:val="TOC3"/>
            <w:tabs>
              <w:tab w:val="left" w:pos="880"/>
            </w:tabs>
            <w:rPr>
              <w:rFonts w:eastAsiaTheme="minorEastAsia"/>
              <w:noProof/>
              <w:kern w:val="2"/>
              <w:sz w:val="24"/>
              <w:szCs w:val="24"/>
              <w14:ligatures w14:val="standardContextual"/>
            </w:rPr>
          </w:pPr>
          <w:hyperlink w:anchor="_Toc240536461" w:history="1">
            <w:r w:rsidRPr="005F6A36">
              <w:rPr>
                <w:rStyle w:val="Hyperlink"/>
                <w:noProof/>
                <w:sz w:val="24"/>
                <w:szCs w:val="24"/>
              </w:rPr>
              <w:t>4.5</w:t>
            </w:r>
            <w:r w:rsidRPr="005F6A36">
              <w:rPr>
                <w:rFonts w:eastAsiaTheme="minorEastAsia"/>
                <w:noProof/>
                <w:kern w:val="2"/>
                <w:sz w:val="24"/>
                <w:szCs w:val="24"/>
                <w14:ligatures w14:val="standardContextual"/>
              </w:rPr>
              <w:tab/>
            </w:r>
            <w:r w:rsidRPr="005F6A36">
              <w:rPr>
                <w:rStyle w:val="Hyperlink"/>
                <w:noProof/>
                <w:sz w:val="24"/>
                <w:szCs w:val="24"/>
              </w:rPr>
              <w:t>Best and Final Offer (BAFO)</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_Toc240536461 \h </w:instrText>
            </w:r>
            <w:r w:rsidRPr="005F6A36">
              <w:rPr>
                <w:noProof/>
                <w:webHidden/>
                <w:sz w:val="24"/>
                <w:szCs w:val="24"/>
              </w:rPr>
            </w:r>
            <w:r w:rsidRPr="005F6A36">
              <w:rPr>
                <w:noProof/>
                <w:webHidden/>
                <w:sz w:val="24"/>
                <w:szCs w:val="24"/>
              </w:rPr>
              <w:fldChar w:fldCharType="separate"/>
            </w:r>
            <w:r w:rsidR="002C7F3A">
              <w:rPr>
                <w:noProof/>
                <w:webHidden/>
                <w:sz w:val="24"/>
                <w:szCs w:val="24"/>
              </w:rPr>
              <w:t>16</w:t>
            </w:r>
            <w:r w:rsidRPr="005F6A36">
              <w:rPr>
                <w:noProof/>
                <w:webHidden/>
                <w:sz w:val="24"/>
                <w:szCs w:val="24"/>
              </w:rPr>
              <w:fldChar w:fldCharType="end"/>
            </w:r>
          </w:hyperlink>
        </w:p>
        <w:p w14:paraId="502241A2" w14:textId="01DAE331" w:rsidR="007822A5" w:rsidRPr="005F6A36" w:rsidRDefault="007822A5">
          <w:pPr>
            <w:pStyle w:val="TOC3"/>
            <w:tabs>
              <w:tab w:val="left" w:pos="880"/>
            </w:tabs>
            <w:rPr>
              <w:rFonts w:eastAsiaTheme="minorEastAsia"/>
              <w:noProof/>
              <w:kern w:val="2"/>
              <w:sz w:val="24"/>
              <w:szCs w:val="24"/>
              <w14:ligatures w14:val="standardContextual"/>
            </w:rPr>
          </w:pPr>
          <w:hyperlink w:anchor="_Toc240536462" w:history="1">
            <w:r w:rsidRPr="005F6A36">
              <w:rPr>
                <w:rStyle w:val="Hyperlink"/>
                <w:noProof/>
                <w:sz w:val="24"/>
                <w:szCs w:val="24"/>
              </w:rPr>
              <w:t>4.6</w:t>
            </w:r>
            <w:r w:rsidRPr="005F6A36">
              <w:rPr>
                <w:rFonts w:eastAsiaTheme="minorEastAsia"/>
                <w:noProof/>
                <w:kern w:val="2"/>
                <w:sz w:val="24"/>
                <w:szCs w:val="24"/>
                <w14:ligatures w14:val="standardContextual"/>
              </w:rPr>
              <w:tab/>
            </w:r>
            <w:r w:rsidRPr="005F6A36">
              <w:rPr>
                <w:rStyle w:val="Hyperlink"/>
                <w:noProof/>
                <w:sz w:val="24"/>
                <w:szCs w:val="24"/>
              </w:rPr>
              <w:t>Procurement Exemptions</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_Toc240536462 \h </w:instrText>
            </w:r>
            <w:r w:rsidRPr="005F6A36">
              <w:rPr>
                <w:noProof/>
                <w:webHidden/>
                <w:sz w:val="24"/>
                <w:szCs w:val="24"/>
              </w:rPr>
            </w:r>
            <w:r w:rsidRPr="005F6A36">
              <w:rPr>
                <w:noProof/>
                <w:webHidden/>
                <w:sz w:val="24"/>
                <w:szCs w:val="24"/>
              </w:rPr>
              <w:fldChar w:fldCharType="separate"/>
            </w:r>
            <w:r w:rsidR="002C7F3A">
              <w:rPr>
                <w:noProof/>
                <w:webHidden/>
                <w:sz w:val="24"/>
                <w:szCs w:val="24"/>
              </w:rPr>
              <w:t>17</w:t>
            </w:r>
            <w:r w:rsidRPr="005F6A36">
              <w:rPr>
                <w:noProof/>
                <w:webHidden/>
                <w:sz w:val="24"/>
                <w:szCs w:val="24"/>
              </w:rPr>
              <w:fldChar w:fldCharType="end"/>
            </w:r>
          </w:hyperlink>
        </w:p>
        <w:p w14:paraId="4D3CC57C" w14:textId="5629F2D4" w:rsidR="007822A5" w:rsidRPr="005F6A36" w:rsidRDefault="007822A5">
          <w:pPr>
            <w:pStyle w:val="TOC3"/>
            <w:tabs>
              <w:tab w:val="left" w:pos="880"/>
            </w:tabs>
            <w:rPr>
              <w:rFonts w:eastAsiaTheme="minorEastAsia"/>
              <w:noProof/>
              <w:kern w:val="2"/>
              <w:sz w:val="24"/>
              <w:szCs w:val="24"/>
              <w14:ligatures w14:val="standardContextual"/>
            </w:rPr>
          </w:pPr>
          <w:hyperlink w:anchor="_Toc240536463" w:history="1">
            <w:r w:rsidRPr="005F6A36">
              <w:rPr>
                <w:rStyle w:val="Hyperlink"/>
                <w:noProof/>
                <w:sz w:val="24"/>
                <w:szCs w:val="24"/>
              </w:rPr>
              <w:t>4.7</w:t>
            </w:r>
            <w:r w:rsidRPr="005F6A36">
              <w:rPr>
                <w:rFonts w:eastAsiaTheme="minorEastAsia"/>
                <w:noProof/>
                <w:kern w:val="2"/>
                <w:sz w:val="24"/>
                <w:szCs w:val="24"/>
                <w14:ligatures w14:val="standardContextual"/>
              </w:rPr>
              <w:tab/>
            </w:r>
            <w:r w:rsidRPr="005F6A36">
              <w:rPr>
                <w:rStyle w:val="Hyperlink"/>
                <w:noProof/>
                <w:sz w:val="24"/>
                <w:szCs w:val="24"/>
              </w:rPr>
              <w:t>Expression of Interest</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_Toc240536463 \h </w:instrText>
            </w:r>
            <w:r w:rsidRPr="005F6A36">
              <w:rPr>
                <w:noProof/>
                <w:webHidden/>
                <w:sz w:val="24"/>
                <w:szCs w:val="24"/>
              </w:rPr>
            </w:r>
            <w:r w:rsidRPr="005F6A36">
              <w:rPr>
                <w:noProof/>
                <w:webHidden/>
                <w:sz w:val="24"/>
                <w:szCs w:val="24"/>
              </w:rPr>
              <w:fldChar w:fldCharType="separate"/>
            </w:r>
            <w:r w:rsidR="002C7F3A">
              <w:rPr>
                <w:noProof/>
                <w:webHidden/>
                <w:sz w:val="24"/>
                <w:szCs w:val="24"/>
              </w:rPr>
              <w:t>17</w:t>
            </w:r>
            <w:r w:rsidRPr="005F6A36">
              <w:rPr>
                <w:noProof/>
                <w:webHidden/>
                <w:sz w:val="24"/>
                <w:szCs w:val="24"/>
              </w:rPr>
              <w:fldChar w:fldCharType="end"/>
            </w:r>
          </w:hyperlink>
        </w:p>
        <w:p w14:paraId="2F70F386" w14:textId="48A09203" w:rsidR="007822A5" w:rsidRPr="005F6A36" w:rsidRDefault="007822A5">
          <w:pPr>
            <w:pStyle w:val="TOC3"/>
            <w:tabs>
              <w:tab w:val="left" w:pos="880"/>
            </w:tabs>
            <w:rPr>
              <w:rFonts w:eastAsiaTheme="minorEastAsia"/>
              <w:noProof/>
              <w:kern w:val="2"/>
              <w:sz w:val="24"/>
              <w:szCs w:val="24"/>
              <w14:ligatures w14:val="standardContextual"/>
            </w:rPr>
          </w:pPr>
          <w:hyperlink w:anchor="_Toc240536464" w:history="1">
            <w:r w:rsidRPr="005F6A36">
              <w:rPr>
                <w:rStyle w:val="Hyperlink"/>
                <w:noProof/>
                <w:sz w:val="24"/>
                <w:szCs w:val="24"/>
              </w:rPr>
              <w:t>4.8</w:t>
            </w:r>
            <w:r w:rsidRPr="005F6A36">
              <w:rPr>
                <w:rFonts w:eastAsiaTheme="minorEastAsia"/>
                <w:noProof/>
                <w:kern w:val="2"/>
                <w:sz w:val="24"/>
                <w:szCs w:val="24"/>
                <w14:ligatures w14:val="standardContextual"/>
              </w:rPr>
              <w:tab/>
            </w:r>
            <w:r w:rsidRPr="005F6A36">
              <w:rPr>
                <w:rStyle w:val="Hyperlink"/>
                <w:noProof/>
                <w:sz w:val="24"/>
                <w:szCs w:val="24"/>
              </w:rPr>
              <w:t>Sole or Select Sourcing</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_Toc240536464 \h </w:instrText>
            </w:r>
            <w:r w:rsidRPr="005F6A36">
              <w:rPr>
                <w:noProof/>
                <w:webHidden/>
                <w:sz w:val="24"/>
                <w:szCs w:val="24"/>
              </w:rPr>
            </w:r>
            <w:r w:rsidRPr="005F6A36">
              <w:rPr>
                <w:noProof/>
                <w:webHidden/>
                <w:sz w:val="24"/>
                <w:szCs w:val="24"/>
              </w:rPr>
              <w:fldChar w:fldCharType="separate"/>
            </w:r>
            <w:r w:rsidR="002C7F3A">
              <w:rPr>
                <w:noProof/>
                <w:webHidden/>
                <w:sz w:val="24"/>
                <w:szCs w:val="24"/>
              </w:rPr>
              <w:t>18</w:t>
            </w:r>
            <w:r w:rsidRPr="005F6A36">
              <w:rPr>
                <w:noProof/>
                <w:webHidden/>
                <w:sz w:val="24"/>
                <w:szCs w:val="24"/>
              </w:rPr>
              <w:fldChar w:fldCharType="end"/>
            </w:r>
          </w:hyperlink>
        </w:p>
        <w:p w14:paraId="1B3B2E7A" w14:textId="6866176A" w:rsidR="007822A5" w:rsidRPr="005F6A36" w:rsidRDefault="007822A5">
          <w:pPr>
            <w:pStyle w:val="TOC3"/>
            <w:tabs>
              <w:tab w:val="left" w:pos="880"/>
            </w:tabs>
            <w:rPr>
              <w:rFonts w:eastAsiaTheme="minorEastAsia"/>
              <w:noProof/>
              <w:kern w:val="2"/>
              <w:sz w:val="24"/>
              <w:szCs w:val="24"/>
              <w14:ligatures w14:val="standardContextual"/>
            </w:rPr>
          </w:pPr>
          <w:hyperlink w:anchor="_Toc240536465" w:history="1">
            <w:r w:rsidRPr="005F6A36">
              <w:rPr>
                <w:rStyle w:val="Hyperlink"/>
                <w:noProof/>
                <w:sz w:val="24"/>
                <w:szCs w:val="24"/>
              </w:rPr>
              <w:t>4.9</w:t>
            </w:r>
            <w:r w:rsidRPr="005F6A36">
              <w:rPr>
                <w:rFonts w:eastAsiaTheme="minorEastAsia"/>
                <w:noProof/>
                <w:kern w:val="2"/>
                <w:sz w:val="24"/>
                <w:szCs w:val="24"/>
                <w14:ligatures w14:val="standardContextual"/>
              </w:rPr>
              <w:tab/>
            </w:r>
            <w:r w:rsidRPr="005F6A36">
              <w:rPr>
                <w:rStyle w:val="Hyperlink"/>
                <w:noProof/>
                <w:sz w:val="24"/>
                <w:szCs w:val="24"/>
              </w:rPr>
              <w:t>Quotations</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_Toc240536465 \h </w:instrText>
            </w:r>
            <w:r w:rsidRPr="005F6A36">
              <w:rPr>
                <w:noProof/>
                <w:webHidden/>
                <w:sz w:val="24"/>
                <w:szCs w:val="24"/>
              </w:rPr>
            </w:r>
            <w:r w:rsidRPr="005F6A36">
              <w:rPr>
                <w:noProof/>
                <w:webHidden/>
                <w:sz w:val="24"/>
                <w:szCs w:val="24"/>
              </w:rPr>
              <w:fldChar w:fldCharType="separate"/>
            </w:r>
            <w:r w:rsidR="002C7F3A">
              <w:rPr>
                <w:noProof/>
                <w:webHidden/>
                <w:sz w:val="24"/>
                <w:szCs w:val="24"/>
              </w:rPr>
              <w:t>18</w:t>
            </w:r>
            <w:r w:rsidRPr="005F6A36">
              <w:rPr>
                <w:noProof/>
                <w:webHidden/>
                <w:sz w:val="24"/>
                <w:szCs w:val="24"/>
              </w:rPr>
              <w:fldChar w:fldCharType="end"/>
            </w:r>
          </w:hyperlink>
        </w:p>
        <w:p w14:paraId="4872CD25" w14:textId="3CCB7282" w:rsidR="007822A5" w:rsidRPr="005F6A36" w:rsidRDefault="007822A5">
          <w:pPr>
            <w:pStyle w:val="TOC3"/>
            <w:tabs>
              <w:tab w:val="left" w:pos="1100"/>
            </w:tabs>
            <w:rPr>
              <w:rFonts w:eastAsiaTheme="minorEastAsia"/>
              <w:noProof/>
              <w:kern w:val="2"/>
              <w:sz w:val="24"/>
              <w:szCs w:val="24"/>
              <w14:ligatures w14:val="standardContextual"/>
            </w:rPr>
          </w:pPr>
          <w:hyperlink w:anchor="_Toc240536466" w:history="1">
            <w:r w:rsidRPr="005F6A36">
              <w:rPr>
                <w:rStyle w:val="Hyperlink"/>
                <w:noProof/>
                <w:sz w:val="24"/>
                <w:szCs w:val="24"/>
              </w:rPr>
              <w:t>4.10</w:t>
            </w:r>
            <w:r w:rsidRPr="005F6A36">
              <w:rPr>
                <w:rFonts w:eastAsiaTheme="minorEastAsia"/>
                <w:noProof/>
                <w:kern w:val="2"/>
                <w:sz w:val="24"/>
                <w:szCs w:val="24"/>
                <w14:ligatures w14:val="standardContextual"/>
              </w:rPr>
              <w:tab/>
            </w:r>
            <w:r w:rsidRPr="005F6A36">
              <w:rPr>
                <w:rStyle w:val="Hyperlink"/>
                <w:noProof/>
                <w:sz w:val="24"/>
                <w:szCs w:val="24"/>
              </w:rPr>
              <w:t>Terms and Conditions</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_Toc240536466 \h </w:instrText>
            </w:r>
            <w:r w:rsidRPr="005F6A36">
              <w:rPr>
                <w:noProof/>
                <w:webHidden/>
                <w:sz w:val="24"/>
                <w:szCs w:val="24"/>
              </w:rPr>
            </w:r>
            <w:r w:rsidRPr="005F6A36">
              <w:rPr>
                <w:noProof/>
                <w:webHidden/>
                <w:sz w:val="24"/>
                <w:szCs w:val="24"/>
              </w:rPr>
              <w:fldChar w:fldCharType="separate"/>
            </w:r>
            <w:r w:rsidR="002C7F3A">
              <w:rPr>
                <w:noProof/>
                <w:webHidden/>
                <w:sz w:val="24"/>
                <w:szCs w:val="24"/>
              </w:rPr>
              <w:t>18</w:t>
            </w:r>
            <w:r w:rsidRPr="005F6A36">
              <w:rPr>
                <w:noProof/>
                <w:webHidden/>
                <w:sz w:val="24"/>
                <w:szCs w:val="24"/>
              </w:rPr>
              <w:fldChar w:fldCharType="end"/>
            </w:r>
          </w:hyperlink>
        </w:p>
        <w:p w14:paraId="7734E193" w14:textId="3DA0B460" w:rsidR="007822A5" w:rsidRPr="005F6A36" w:rsidRDefault="007822A5">
          <w:pPr>
            <w:pStyle w:val="TOC3"/>
            <w:tabs>
              <w:tab w:val="left" w:pos="1100"/>
            </w:tabs>
            <w:rPr>
              <w:rFonts w:eastAsiaTheme="minorEastAsia"/>
              <w:noProof/>
              <w:kern w:val="2"/>
              <w:sz w:val="24"/>
              <w:szCs w:val="24"/>
              <w14:ligatures w14:val="standardContextual"/>
            </w:rPr>
          </w:pPr>
          <w:hyperlink w:anchor="_Toc240536467" w:history="1">
            <w:r w:rsidRPr="005F6A36">
              <w:rPr>
                <w:rStyle w:val="Hyperlink"/>
                <w:noProof/>
                <w:sz w:val="24"/>
                <w:szCs w:val="24"/>
              </w:rPr>
              <w:t>4.11</w:t>
            </w:r>
            <w:r w:rsidRPr="005F6A36">
              <w:rPr>
                <w:rFonts w:eastAsiaTheme="minorEastAsia"/>
                <w:noProof/>
                <w:kern w:val="2"/>
                <w:sz w:val="24"/>
                <w:szCs w:val="24"/>
                <w14:ligatures w14:val="standardContextual"/>
              </w:rPr>
              <w:tab/>
            </w:r>
            <w:r w:rsidRPr="005F6A36">
              <w:rPr>
                <w:rStyle w:val="Hyperlink"/>
                <w:noProof/>
                <w:sz w:val="24"/>
                <w:szCs w:val="24"/>
              </w:rPr>
              <w:t>Collaborative Procurement</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_Toc240536467 \h </w:instrText>
            </w:r>
            <w:r w:rsidRPr="005F6A36">
              <w:rPr>
                <w:noProof/>
                <w:webHidden/>
                <w:sz w:val="24"/>
                <w:szCs w:val="24"/>
              </w:rPr>
            </w:r>
            <w:r w:rsidRPr="005F6A36">
              <w:rPr>
                <w:noProof/>
                <w:webHidden/>
                <w:sz w:val="24"/>
                <w:szCs w:val="24"/>
              </w:rPr>
              <w:fldChar w:fldCharType="separate"/>
            </w:r>
            <w:r w:rsidR="002C7F3A">
              <w:rPr>
                <w:noProof/>
                <w:webHidden/>
                <w:sz w:val="24"/>
                <w:szCs w:val="24"/>
              </w:rPr>
              <w:t>18</w:t>
            </w:r>
            <w:r w:rsidRPr="005F6A36">
              <w:rPr>
                <w:noProof/>
                <w:webHidden/>
                <w:sz w:val="24"/>
                <w:szCs w:val="24"/>
              </w:rPr>
              <w:fldChar w:fldCharType="end"/>
            </w:r>
          </w:hyperlink>
        </w:p>
        <w:p w14:paraId="42BEBC23" w14:textId="5439F050" w:rsidR="007822A5" w:rsidRPr="005F6A36" w:rsidRDefault="007822A5">
          <w:pPr>
            <w:pStyle w:val="TOC3"/>
            <w:tabs>
              <w:tab w:val="left" w:pos="1100"/>
            </w:tabs>
            <w:rPr>
              <w:rFonts w:eastAsiaTheme="minorEastAsia"/>
              <w:noProof/>
              <w:kern w:val="2"/>
              <w:sz w:val="24"/>
              <w:szCs w:val="24"/>
              <w14:ligatures w14:val="standardContextual"/>
            </w:rPr>
          </w:pPr>
          <w:hyperlink w:anchor="_Toc240536468" w:history="1">
            <w:r w:rsidRPr="005F6A36">
              <w:rPr>
                <w:rStyle w:val="Hyperlink"/>
                <w:noProof/>
                <w:sz w:val="24"/>
                <w:szCs w:val="24"/>
              </w:rPr>
              <w:t>4.12</w:t>
            </w:r>
            <w:r w:rsidRPr="005F6A36">
              <w:rPr>
                <w:rFonts w:eastAsiaTheme="minorEastAsia"/>
                <w:noProof/>
                <w:kern w:val="2"/>
                <w:sz w:val="24"/>
                <w:szCs w:val="24"/>
                <w14:ligatures w14:val="standardContextual"/>
              </w:rPr>
              <w:tab/>
            </w:r>
            <w:r w:rsidRPr="005F6A36">
              <w:rPr>
                <w:rStyle w:val="Hyperlink"/>
                <w:noProof/>
                <w:sz w:val="24"/>
                <w:szCs w:val="24"/>
              </w:rPr>
              <w:t>Agency Contracts, Supplier Registers and Supplier Panels</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_Toc240536468 \h </w:instrText>
            </w:r>
            <w:r w:rsidRPr="005F6A36">
              <w:rPr>
                <w:noProof/>
                <w:webHidden/>
                <w:sz w:val="24"/>
                <w:szCs w:val="24"/>
              </w:rPr>
            </w:r>
            <w:r w:rsidRPr="005F6A36">
              <w:rPr>
                <w:noProof/>
                <w:webHidden/>
                <w:sz w:val="24"/>
                <w:szCs w:val="24"/>
              </w:rPr>
              <w:fldChar w:fldCharType="separate"/>
            </w:r>
            <w:r w:rsidR="002C7F3A">
              <w:rPr>
                <w:noProof/>
                <w:webHidden/>
                <w:sz w:val="24"/>
                <w:szCs w:val="24"/>
              </w:rPr>
              <w:t>19</w:t>
            </w:r>
            <w:r w:rsidRPr="005F6A36">
              <w:rPr>
                <w:noProof/>
                <w:webHidden/>
                <w:sz w:val="24"/>
                <w:szCs w:val="24"/>
              </w:rPr>
              <w:fldChar w:fldCharType="end"/>
            </w:r>
          </w:hyperlink>
        </w:p>
        <w:p w14:paraId="2A446EBF" w14:textId="1D7DDCDF" w:rsidR="007822A5" w:rsidRPr="005F6A36" w:rsidRDefault="007822A5">
          <w:pPr>
            <w:pStyle w:val="TOC3"/>
            <w:tabs>
              <w:tab w:val="left" w:pos="1100"/>
            </w:tabs>
            <w:rPr>
              <w:rFonts w:eastAsiaTheme="minorEastAsia"/>
              <w:noProof/>
              <w:kern w:val="2"/>
              <w:sz w:val="24"/>
              <w:szCs w:val="24"/>
              <w14:ligatures w14:val="standardContextual"/>
            </w:rPr>
          </w:pPr>
          <w:hyperlink w:anchor="_Toc240536469" w:history="1">
            <w:r w:rsidRPr="005F6A36">
              <w:rPr>
                <w:rStyle w:val="Hyperlink"/>
                <w:noProof/>
                <w:sz w:val="24"/>
                <w:szCs w:val="24"/>
              </w:rPr>
              <w:t>4.13</w:t>
            </w:r>
            <w:r w:rsidRPr="005F6A36">
              <w:rPr>
                <w:rFonts w:eastAsiaTheme="minorEastAsia"/>
                <w:noProof/>
                <w:kern w:val="2"/>
                <w:sz w:val="24"/>
                <w:szCs w:val="24"/>
                <w14:ligatures w14:val="standardContextual"/>
              </w:rPr>
              <w:tab/>
            </w:r>
            <w:r w:rsidRPr="005F6A36">
              <w:rPr>
                <w:rStyle w:val="Hyperlink"/>
                <w:noProof/>
                <w:sz w:val="24"/>
                <w:szCs w:val="24"/>
              </w:rPr>
              <w:t>Annual Forward Procurement Plan</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_Toc240536469 \h </w:instrText>
            </w:r>
            <w:r w:rsidRPr="005F6A36">
              <w:rPr>
                <w:noProof/>
                <w:webHidden/>
                <w:sz w:val="24"/>
                <w:szCs w:val="24"/>
              </w:rPr>
            </w:r>
            <w:r w:rsidRPr="005F6A36">
              <w:rPr>
                <w:noProof/>
                <w:webHidden/>
                <w:sz w:val="24"/>
                <w:szCs w:val="24"/>
              </w:rPr>
              <w:fldChar w:fldCharType="separate"/>
            </w:r>
            <w:r w:rsidR="002C7F3A">
              <w:rPr>
                <w:noProof/>
                <w:webHidden/>
                <w:sz w:val="24"/>
                <w:szCs w:val="24"/>
              </w:rPr>
              <w:t>20</w:t>
            </w:r>
            <w:r w:rsidRPr="005F6A36">
              <w:rPr>
                <w:noProof/>
                <w:webHidden/>
                <w:sz w:val="24"/>
                <w:szCs w:val="24"/>
              </w:rPr>
              <w:fldChar w:fldCharType="end"/>
            </w:r>
          </w:hyperlink>
        </w:p>
        <w:p w14:paraId="1E595BAC" w14:textId="0F3B196A" w:rsidR="007822A5" w:rsidRPr="005F6A36" w:rsidRDefault="007822A5">
          <w:pPr>
            <w:pStyle w:val="TOC1"/>
            <w:tabs>
              <w:tab w:val="left" w:pos="660"/>
            </w:tabs>
            <w:rPr>
              <w:rFonts w:ascii="Arial" w:eastAsiaTheme="minorEastAsia" w:hAnsi="Arial"/>
              <w:noProof/>
              <w:color w:val="auto"/>
              <w:kern w:val="2"/>
              <w:sz w:val="24"/>
              <w:szCs w:val="24"/>
              <w14:ligatures w14:val="standardContextual"/>
            </w:rPr>
          </w:pPr>
          <w:hyperlink w:anchor="_Toc240536470" w:history="1">
            <w:r w:rsidRPr="005F6A36">
              <w:rPr>
                <w:rStyle w:val="Hyperlink"/>
                <w:rFonts w:ascii="Arial" w:hAnsi="Arial"/>
                <w:noProof/>
                <w:sz w:val="24"/>
                <w:szCs w:val="24"/>
              </w:rPr>
              <w:t>5.</w:t>
            </w:r>
            <w:r w:rsidRPr="005F6A36">
              <w:rPr>
                <w:rFonts w:ascii="Arial" w:eastAsiaTheme="minorEastAsia" w:hAnsi="Arial"/>
                <w:noProof/>
                <w:color w:val="auto"/>
                <w:kern w:val="2"/>
                <w:sz w:val="24"/>
                <w:szCs w:val="24"/>
                <w14:ligatures w14:val="standardContextual"/>
              </w:rPr>
              <w:tab/>
            </w:r>
            <w:r w:rsidRPr="005F6A36">
              <w:rPr>
                <w:rStyle w:val="Hyperlink"/>
                <w:rFonts w:ascii="Arial" w:hAnsi="Arial"/>
                <w:noProof/>
                <w:sz w:val="24"/>
                <w:szCs w:val="24"/>
              </w:rPr>
              <w:t>Achieving Value for Money</w:t>
            </w:r>
            <w:r w:rsidRPr="005F6A36">
              <w:rPr>
                <w:rFonts w:ascii="Arial" w:hAnsi="Arial"/>
                <w:noProof/>
                <w:webHidden/>
                <w:sz w:val="24"/>
                <w:szCs w:val="24"/>
              </w:rPr>
              <w:tab/>
            </w:r>
            <w:r w:rsidRPr="005F6A36">
              <w:rPr>
                <w:rFonts w:ascii="Arial" w:hAnsi="Arial"/>
                <w:noProof/>
                <w:webHidden/>
                <w:sz w:val="24"/>
                <w:szCs w:val="24"/>
              </w:rPr>
              <w:fldChar w:fldCharType="begin"/>
            </w:r>
            <w:r w:rsidRPr="005F6A36">
              <w:rPr>
                <w:rFonts w:ascii="Arial" w:hAnsi="Arial"/>
                <w:noProof/>
                <w:webHidden/>
                <w:sz w:val="24"/>
                <w:szCs w:val="24"/>
              </w:rPr>
              <w:instrText xml:space="preserve"> PAGEREF _Toc240536470 \h </w:instrText>
            </w:r>
            <w:r w:rsidRPr="005F6A36">
              <w:rPr>
                <w:rFonts w:ascii="Arial" w:hAnsi="Arial"/>
                <w:noProof/>
                <w:webHidden/>
                <w:sz w:val="24"/>
                <w:szCs w:val="24"/>
              </w:rPr>
            </w:r>
            <w:r w:rsidRPr="005F6A36">
              <w:rPr>
                <w:rFonts w:ascii="Arial" w:hAnsi="Arial"/>
                <w:noProof/>
                <w:webHidden/>
                <w:sz w:val="24"/>
                <w:szCs w:val="24"/>
              </w:rPr>
              <w:fldChar w:fldCharType="separate"/>
            </w:r>
            <w:r w:rsidR="002C7F3A">
              <w:rPr>
                <w:rFonts w:ascii="Arial" w:hAnsi="Arial"/>
                <w:noProof/>
                <w:webHidden/>
                <w:sz w:val="24"/>
                <w:szCs w:val="24"/>
              </w:rPr>
              <w:t>21</w:t>
            </w:r>
            <w:r w:rsidRPr="005F6A36">
              <w:rPr>
                <w:rFonts w:ascii="Arial" w:hAnsi="Arial"/>
                <w:noProof/>
                <w:webHidden/>
                <w:sz w:val="24"/>
                <w:szCs w:val="24"/>
              </w:rPr>
              <w:fldChar w:fldCharType="end"/>
            </w:r>
          </w:hyperlink>
        </w:p>
        <w:p w14:paraId="651E977F" w14:textId="72E727B0" w:rsidR="007822A5" w:rsidRPr="005F6A36" w:rsidRDefault="007822A5">
          <w:pPr>
            <w:pStyle w:val="TOC1"/>
            <w:tabs>
              <w:tab w:val="left" w:pos="660"/>
            </w:tabs>
            <w:rPr>
              <w:rFonts w:ascii="Arial" w:eastAsiaTheme="minorEastAsia" w:hAnsi="Arial"/>
              <w:noProof/>
              <w:color w:val="auto"/>
              <w:kern w:val="2"/>
              <w:sz w:val="24"/>
              <w:szCs w:val="24"/>
              <w14:ligatures w14:val="standardContextual"/>
            </w:rPr>
          </w:pPr>
          <w:hyperlink w:anchor="_Toc240536471" w:history="1">
            <w:r w:rsidRPr="005F6A36">
              <w:rPr>
                <w:rStyle w:val="Hyperlink"/>
                <w:rFonts w:ascii="Arial" w:hAnsi="Arial"/>
                <w:noProof/>
                <w:sz w:val="24"/>
                <w:szCs w:val="24"/>
              </w:rPr>
              <w:t>6.</w:t>
            </w:r>
            <w:r w:rsidRPr="005F6A36">
              <w:rPr>
                <w:rFonts w:ascii="Arial" w:eastAsiaTheme="minorEastAsia" w:hAnsi="Arial"/>
                <w:noProof/>
                <w:color w:val="auto"/>
                <w:kern w:val="2"/>
                <w:sz w:val="24"/>
                <w:szCs w:val="24"/>
                <w14:ligatures w14:val="standardContextual"/>
              </w:rPr>
              <w:tab/>
            </w:r>
            <w:r w:rsidRPr="005F6A36">
              <w:rPr>
                <w:rStyle w:val="Hyperlink"/>
                <w:rFonts w:ascii="Arial" w:hAnsi="Arial"/>
                <w:noProof/>
                <w:sz w:val="24"/>
                <w:szCs w:val="24"/>
              </w:rPr>
              <w:t>Contract Management</w:t>
            </w:r>
            <w:r w:rsidRPr="005F6A36">
              <w:rPr>
                <w:rFonts w:ascii="Arial" w:hAnsi="Arial"/>
                <w:noProof/>
                <w:webHidden/>
                <w:sz w:val="24"/>
                <w:szCs w:val="24"/>
              </w:rPr>
              <w:tab/>
            </w:r>
            <w:r w:rsidRPr="005F6A36">
              <w:rPr>
                <w:rFonts w:ascii="Arial" w:hAnsi="Arial"/>
                <w:noProof/>
                <w:webHidden/>
                <w:sz w:val="24"/>
                <w:szCs w:val="24"/>
              </w:rPr>
              <w:fldChar w:fldCharType="begin"/>
            </w:r>
            <w:r w:rsidRPr="005F6A36">
              <w:rPr>
                <w:rFonts w:ascii="Arial" w:hAnsi="Arial"/>
                <w:noProof/>
                <w:webHidden/>
                <w:sz w:val="24"/>
                <w:szCs w:val="24"/>
              </w:rPr>
              <w:instrText xml:space="preserve"> PAGEREF _Toc240536471 \h </w:instrText>
            </w:r>
            <w:r w:rsidRPr="005F6A36">
              <w:rPr>
                <w:rFonts w:ascii="Arial" w:hAnsi="Arial"/>
                <w:noProof/>
                <w:webHidden/>
                <w:sz w:val="24"/>
                <w:szCs w:val="24"/>
              </w:rPr>
            </w:r>
            <w:r w:rsidRPr="005F6A36">
              <w:rPr>
                <w:rFonts w:ascii="Arial" w:hAnsi="Arial"/>
                <w:noProof/>
                <w:webHidden/>
                <w:sz w:val="24"/>
                <w:szCs w:val="24"/>
              </w:rPr>
              <w:fldChar w:fldCharType="separate"/>
            </w:r>
            <w:r w:rsidR="002C7F3A">
              <w:rPr>
                <w:rFonts w:ascii="Arial" w:hAnsi="Arial"/>
                <w:noProof/>
                <w:webHidden/>
                <w:sz w:val="24"/>
                <w:szCs w:val="24"/>
              </w:rPr>
              <w:t>21</w:t>
            </w:r>
            <w:r w:rsidRPr="005F6A36">
              <w:rPr>
                <w:rFonts w:ascii="Arial" w:hAnsi="Arial"/>
                <w:noProof/>
                <w:webHidden/>
                <w:sz w:val="24"/>
                <w:szCs w:val="24"/>
              </w:rPr>
              <w:fldChar w:fldCharType="end"/>
            </w:r>
          </w:hyperlink>
        </w:p>
        <w:p w14:paraId="61A6BDF3" w14:textId="4872DB34" w:rsidR="007822A5" w:rsidRPr="005F6A36" w:rsidRDefault="007822A5">
          <w:pPr>
            <w:pStyle w:val="TOC3"/>
            <w:tabs>
              <w:tab w:val="left" w:pos="880"/>
            </w:tabs>
            <w:rPr>
              <w:rFonts w:eastAsiaTheme="minorEastAsia"/>
              <w:noProof/>
              <w:kern w:val="2"/>
              <w:sz w:val="24"/>
              <w:szCs w:val="24"/>
              <w14:ligatures w14:val="standardContextual"/>
            </w:rPr>
          </w:pPr>
          <w:hyperlink w:anchor="_Toc240536472" w:history="1">
            <w:r w:rsidRPr="005F6A36">
              <w:rPr>
                <w:rStyle w:val="Hyperlink"/>
                <w:noProof/>
                <w:sz w:val="24"/>
                <w:szCs w:val="24"/>
              </w:rPr>
              <w:t>6.1</w:t>
            </w:r>
            <w:r w:rsidRPr="005F6A36">
              <w:rPr>
                <w:rFonts w:eastAsiaTheme="minorEastAsia"/>
                <w:noProof/>
                <w:kern w:val="2"/>
                <w:sz w:val="24"/>
                <w:szCs w:val="24"/>
                <w14:ligatures w14:val="standardContextual"/>
              </w:rPr>
              <w:tab/>
            </w:r>
            <w:r w:rsidRPr="005F6A36">
              <w:rPr>
                <w:rStyle w:val="Hyperlink"/>
                <w:noProof/>
                <w:sz w:val="24"/>
                <w:szCs w:val="24"/>
              </w:rPr>
              <w:t>Contract Variations</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_Toc240536472 \h </w:instrText>
            </w:r>
            <w:r w:rsidRPr="005F6A36">
              <w:rPr>
                <w:noProof/>
                <w:webHidden/>
                <w:sz w:val="24"/>
                <w:szCs w:val="24"/>
              </w:rPr>
            </w:r>
            <w:r w:rsidRPr="005F6A36">
              <w:rPr>
                <w:noProof/>
                <w:webHidden/>
                <w:sz w:val="24"/>
                <w:szCs w:val="24"/>
              </w:rPr>
              <w:fldChar w:fldCharType="separate"/>
            </w:r>
            <w:r w:rsidR="002C7F3A">
              <w:rPr>
                <w:noProof/>
                <w:webHidden/>
                <w:sz w:val="24"/>
                <w:szCs w:val="24"/>
              </w:rPr>
              <w:t>22</w:t>
            </w:r>
            <w:r w:rsidRPr="005F6A36">
              <w:rPr>
                <w:noProof/>
                <w:webHidden/>
                <w:sz w:val="24"/>
                <w:szCs w:val="24"/>
              </w:rPr>
              <w:fldChar w:fldCharType="end"/>
            </w:r>
          </w:hyperlink>
        </w:p>
        <w:p w14:paraId="54D1F2CF" w14:textId="13760EC6" w:rsidR="007822A5" w:rsidRPr="005F6A36" w:rsidRDefault="007822A5">
          <w:pPr>
            <w:pStyle w:val="TOC1"/>
            <w:tabs>
              <w:tab w:val="left" w:pos="660"/>
            </w:tabs>
            <w:rPr>
              <w:rFonts w:ascii="Arial" w:eastAsiaTheme="minorEastAsia" w:hAnsi="Arial"/>
              <w:noProof/>
              <w:color w:val="auto"/>
              <w:kern w:val="2"/>
              <w:sz w:val="24"/>
              <w:szCs w:val="24"/>
              <w14:ligatures w14:val="standardContextual"/>
            </w:rPr>
          </w:pPr>
          <w:hyperlink w:anchor="_Toc240536473" w:history="1">
            <w:r w:rsidRPr="005F6A36">
              <w:rPr>
                <w:rStyle w:val="Hyperlink"/>
                <w:rFonts w:ascii="Arial" w:hAnsi="Arial"/>
                <w:noProof/>
                <w:sz w:val="24"/>
                <w:szCs w:val="24"/>
              </w:rPr>
              <w:t>7.</w:t>
            </w:r>
            <w:r w:rsidRPr="005F6A36">
              <w:rPr>
                <w:rFonts w:ascii="Arial" w:eastAsiaTheme="minorEastAsia" w:hAnsi="Arial"/>
                <w:noProof/>
                <w:color w:val="auto"/>
                <w:kern w:val="2"/>
                <w:sz w:val="24"/>
                <w:szCs w:val="24"/>
                <w14:ligatures w14:val="standardContextual"/>
              </w:rPr>
              <w:tab/>
            </w:r>
            <w:r w:rsidRPr="005F6A36">
              <w:rPr>
                <w:rStyle w:val="Hyperlink"/>
                <w:rFonts w:ascii="Arial" w:hAnsi="Arial"/>
                <w:noProof/>
                <w:sz w:val="24"/>
                <w:szCs w:val="24"/>
              </w:rPr>
              <w:t>Effective Legislative and Policy Compliance and Control</w:t>
            </w:r>
            <w:r w:rsidRPr="005F6A36">
              <w:rPr>
                <w:rFonts w:ascii="Arial" w:hAnsi="Arial"/>
                <w:noProof/>
                <w:webHidden/>
                <w:sz w:val="24"/>
                <w:szCs w:val="24"/>
              </w:rPr>
              <w:tab/>
            </w:r>
            <w:r w:rsidRPr="005F6A36">
              <w:rPr>
                <w:rFonts w:ascii="Arial" w:hAnsi="Arial"/>
                <w:noProof/>
                <w:webHidden/>
                <w:sz w:val="24"/>
                <w:szCs w:val="24"/>
              </w:rPr>
              <w:fldChar w:fldCharType="begin"/>
            </w:r>
            <w:r w:rsidRPr="005F6A36">
              <w:rPr>
                <w:rFonts w:ascii="Arial" w:hAnsi="Arial"/>
                <w:noProof/>
                <w:webHidden/>
                <w:sz w:val="24"/>
                <w:szCs w:val="24"/>
              </w:rPr>
              <w:instrText xml:space="preserve"> PAGEREF _Toc240536473 \h </w:instrText>
            </w:r>
            <w:r w:rsidRPr="005F6A36">
              <w:rPr>
                <w:rFonts w:ascii="Arial" w:hAnsi="Arial"/>
                <w:noProof/>
                <w:webHidden/>
                <w:sz w:val="24"/>
                <w:szCs w:val="24"/>
              </w:rPr>
            </w:r>
            <w:r w:rsidRPr="005F6A36">
              <w:rPr>
                <w:rFonts w:ascii="Arial" w:hAnsi="Arial"/>
                <w:noProof/>
                <w:webHidden/>
                <w:sz w:val="24"/>
                <w:szCs w:val="24"/>
              </w:rPr>
              <w:fldChar w:fldCharType="separate"/>
            </w:r>
            <w:r w:rsidR="002C7F3A">
              <w:rPr>
                <w:rFonts w:ascii="Arial" w:hAnsi="Arial"/>
                <w:noProof/>
                <w:webHidden/>
                <w:sz w:val="24"/>
                <w:szCs w:val="24"/>
              </w:rPr>
              <w:t>23</w:t>
            </w:r>
            <w:r w:rsidRPr="005F6A36">
              <w:rPr>
                <w:rFonts w:ascii="Arial" w:hAnsi="Arial"/>
                <w:noProof/>
                <w:webHidden/>
                <w:sz w:val="24"/>
                <w:szCs w:val="24"/>
              </w:rPr>
              <w:fldChar w:fldCharType="end"/>
            </w:r>
          </w:hyperlink>
        </w:p>
        <w:p w14:paraId="155CDFBF" w14:textId="28090CC7" w:rsidR="007822A5" w:rsidRPr="005F6A36" w:rsidRDefault="007822A5">
          <w:pPr>
            <w:pStyle w:val="TOC3"/>
            <w:tabs>
              <w:tab w:val="left" w:pos="880"/>
            </w:tabs>
            <w:rPr>
              <w:rFonts w:eastAsiaTheme="minorEastAsia"/>
              <w:noProof/>
              <w:kern w:val="2"/>
              <w:sz w:val="24"/>
              <w:szCs w:val="24"/>
              <w14:ligatures w14:val="standardContextual"/>
            </w:rPr>
          </w:pPr>
          <w:hyperlink w:anchor="_Toc240536474" w:history="1">
            <w:r w:rsidRPr="005F6A36">
              <w:rPr>
                <w:rStyle w:val="Hyperlink"/>
                <w:noProof/>
                <w:sz w:val="24"/>
                <w:szCs w:val="24"/>
              </w:rPr>
              <w:t>7.1</w:t>
            </w:r>
            <w:r w:rsidRPr="005F6A36">
              <w:rPr>
                <w:rFonts w:eastAsiaTheme="minorEastAsia"/>
                <w:noProof/>
                <w:kern w:val="2"/>
                <w:sz w:val="24"/>
                <w:szCs w:val="24"/>
                <w14:ligatures w14:val="standardContextual"/>
              </w:rPr>
              <w:tab/>
            </w:r>
            <w:r w:rsidRPr="005F6A36">
              <w:rPr>
                <w:rStyle w:val="Hyperlink"/>
                <w:noProof/>
                <w:sz w:val="24"/>
                <w:szCs w:val="24"/>
              </w:rPr>
              <w:t>Delegations</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_Toc240536474 \h </w:instrText>
            </w:r>
            <w:r w:rsidRPr="005F6A36">
              <w:rPr>
                <w:noProof/>
                <w:webHidden/>
                <w:sz w:val="24"/>
                <w:szCs w:val="24"/>
              </w:rPr>
            </w:r>
            <w:r w:rsidRPr="005F6A36">
              <w:rPr>
                <w:noProof/>
                <w:webHidden/>
                <w:sz w:val="24"/>
                <w:szCs w:val="24"/>
              </w:rPr>
              <w:fldChar w:fldCharType="separate"/>
            </w:r>
            <w:r w:rsidR="002C7F3A">
              <w:rPr>
                <w:noProof/>
                <w:webHidden/>
                <w:sz w:val="24"/>
                <w:szCs w:val="24"/>
              </w:rPr>
              <w:t>23</w:t>
            </w:r>
            <w:r w:rsidRPr="005F6A36">
              <w:rPr>
                <w:noProof/>
                <w:webHidden/>
                <w:sz w:val="24"/>
                <w:szCs w:val="24"/>
              </w:rPr>
              <w:fldChar w:fldCharType="end"/>
            </w:r>
          </w:hyperlink>
        </w:p>
        <w:p w14:paraId="27004F1F" w14:textId="6010D206" w:rsidR="007822A5" w:rsidRPr="005F6A36" w:rsidRDefault="007822A5">
          <w:pPr>
            <w:pStyle w:val="TOC3"/>
            <w:tabs>
              <w:tab w:val="left" w:pos="880"/>
            </w:tabs>
            <w:rPr>
              <w:rFonts w:eastAsiaTheme="minorEastAsia"/>
              <w:noProof/>
              <w:kern w:val="2"/>
              <w:sz w:val="24"/>
              <w:szCs w:val="24"/>
              <w14:ligatures w14:val="standardContextual"/>
            </w:rPr>
          </w:pPr>
          <w:hyperlink w:anchor="_Toc240536475" w:history="1">
            <w:r w:rsidRPr="005F6A36">
              <w:rPr>
                <w:rStyle w:val="Hyperlink"/>
                <w:noProof/>
                <w:sz w:val="24"/>
                <w:szCs w:val="24"/>
              </w:rPr>
              <w:t>7.2</w:t>
            </w:r>
            <w:r w:rsidRPr="005F6A36">
              <w:rPr>
                <w:rFonts w:eastAsiaTheme="minorEastAsia"/>
                <w:noProof/>
                <w:kern w:val="2"/>
                <w:sz w:val="24"/>
                <w:szCs w:val="24"/>
                <w14:ligatures w14:val="standardContextual"/>
              </w:rPr>
              <w:tab/>
            </w:r>
            <w:r w:rsidRPr="005F6A36">
              <w:rPr>
                <w:rStyle w:val="Hyperlink"/>
                <w:noProof/>
                <w:sz w:val="24"/>
                <w:szCs w:val="24"/>
              </w:rPr>
              <w:t>Probity Requirements</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_Toc240536475 \h </w:instrText>
            </w:r>
            <w:r w:rsidRPr="005F6A36">
              <w:rPr>
                <w:noProof/>
                <w:webHidden/>
                <w:sz w:val="24"/>
                <w:szCs w:val="24"/>
              </w:rPr>
            </w:r>
            <w:r w:rsidRPr="005F6A36">
              <w:rPr>
                <w:noProof/>
                <w:webHidden/>
                <w:sz w:val="24"/>
                <w:szCs w:val="24"/>
              </w:rPr>
              <w:fldChar w:fldCharType="separate"/>
            </w:r>
            <w:r w:rsidR="002C7F3A">
              <w:rPr>
                <w:noProof/>
                <w:webHidden/>
                <w:sz w:val="24"/>
                <w:szCs w:val="24"/>
              </w:rPr>
              <w:t>23</w:t>
            </w:r>
            <w:r w:rsidRPr="005F6A36">
              <w:rPr>
                <w:noProof/>
                <w:webHidden/>
                <w:sz w:val="24"/>
                <w:szCs w:val="24"/>
              </w:rPr>
              <w:fldChar w:fldCharType="end"/>
            </w:r>
          </w:hyperlink>
        </w:p>
        <w:p w14:paraId="51E81C98" w14:textId="7FBFB401" w:rsidR="007822A5" w:rsidRPr="005F6A36" w:rsidRDefault="007822A5">
          <w:pPr>
            <w:pStyle w:val="TOC3"/>
            <w:tabs>
              <w:tab w:val="left" w:pos="880"/>
            </w:tabs>
            <w:rPr>
              <w:rFonts w:eastAsiaTheme="minorEastAsia"/>
              <w:noProof/>
              <w:kern w:val="2"/>
              <w:sz w:val="24"/>
              <w:szCs w:val="24"/>
              <w14:ligatures w14:val="standardContextual"/>
            </w:rPr>
          </w:pPr>
          <w:hyperlink w:anchor="_Toc240536476" w:history="1">
            <w:r w:rsidRPr="005F6A36">
              <w:rPr>
                <w:rStyle w:val="Hyperlink"/>
                <w:noProof/>
                <w:sz w:val="24"/>
                <w:szCs w:val="24"/>
              </w:rPr>
              <w:t>7.3</w:t>
            </w:r>
            <w:r w:rsidRPr="005F6A36">
              <w:rPr>
                <w:rFonts w:eastAsiaTheme="minorEastAsia"/>
                <w:noProof/>
                <w:kern w:val="2"/>
                <w:sz w:val="24"/>
                <w:szCs w:val="24"/>
                <w14:ligatures w14:val="standardContextual"/>
              </w:rPr>
              <w:tab/>
            </w:r>
            <w:r w:rsidRPr="005F6A36">
              <w:rPr>
                <w:rStyle w:val="Hyperlink"/>
                <w:noProof/>
                <w:sz w:val="24"/>
                <w:szCs w:val="24"/>
              </w:rPr>
              <w:t>Risk Management</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_Toc240536476 \h </w:instrText>
            </w:r>
            <w:r w:rsidRPr="005F6A36">
              <w:rPr>
                <w:noProof/>
                <w:webHidden/>
                <w:sz w:val="24"/>
                <w:szCs w:val="24"/>
              </w:rPr>
            </w:r>
            <w:r w:rsidRPr="005F6A36">
              <w:rPr>
                <w:noProof/>
                <w:webHidden/>
                <w:sz w:val="24"/>
                <w:szCs w:val="24"/>
              </w:rPr>
              <w:fldChar w:fldCharType="separate"/>
            </w:r>
            <w:r w:rsidR="002C7F3A">
              <w:rPr>
                <w:noProof/>
                <w:webHidden/>
                <w:sz w:val="24"/>
                <w:szCs w:val="24"/>
              </w:rPr>
              <w:t>27</w:t>
            </w:r>
            <w:r w:rsidRPr="005F6A36">
              <w:rPr>
                <w:noProof/>
                <w:webHidden/>
                <w:sz w:val="24"/>
                <w:szCs w:val="24"/>
              </w:rPr>
              <w:fldChar w:fldCharType="end"/>
            </w:r>
          </w:hyperlink>
        </w:p>
        <w:p w14:paraId="509DE63C" w14:textId="009D235A" w:rsidR="007822A5" w:rsidRPr="005F6A36" w:rsidRDefault="007822A5">
          <w:pPr>
            <w:pStyle w:val="TOC3"/>
            <w:tabs>
              <w:tab w:val="left" w:pos="880"/>
            </w:tabs>
            <w:rPr>
              <w:rFonts w:eastAsiaTheme="minorEastAsia"/>
              <w:noProof/>
              <w:kern w:val="2"/>
              <w:sz w:val="24"/>
              <w:szCs w:val="24"/>
              <w14:ligatures w14:val="standardContextual"/>
            </w:rPr>
          </w:pPr>
          <w:hyperlink w:anchor="_Toc240536477" w:history="1">
            <w:r w:rsidRPr="005F6A36">
              <w:rPr>
                <w:rStyle w:val="Hyperlink"/>
                <w:noProof/>
                <w:sz w:val="24"/>
                <w:szCs w:val="24"/>
              </w:rPr>
              <w:t>7.4</w:t>
            </w:r>
            <w:r w:rsidRPr="005F6A36">
              <w:rPr>
                <w:rFonts w:eastAsiaTheme="minorEastAsia"/>
                <w:noProof/>
                <w:kern w:val="2"/>
                <w:sz w:val="24"/>
                <w:szCs w:val="24"/>
                <w14:ligatures w14:val="standardContextual"/>
              </w:rPr>
              <w:tab/>
            </w:r>
            <w:r w:rsidRPr="005F6A36">
              <w:rPr>
                <w:rStyle w:val="Hyperlink"/>
                <w:noProof/>
                <w:sz w:val="24"/>
                <w:szCs w:val="24"/>
              </w:rPr>
              <w:t>Internal Control</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_Toc240536477 \h </w:instrText>
            </w:r>
            <w:r w:rsidRPr="005F6A36">
              <w:rPr>
                <w:noProof/>
                <w:webHidden/>
                <w:sz w:val="24"/>
                <w:szCs w:val="24"/>
              </w:rPr>
            </w:r>
            <w:r w:rsidRPr="005F6A36">
              <w:rPr>
                <w:noProof/>
                <w:webHidden/>
                <w:sz w:val="24"/>
                <w:szCs w:val="24"/>
              </w:rPr>
              <w:fldChar w:fldCharType="separate"/>
            </w:r>
            <w:r w:rsidR="002C7F3A">
              <w:rPr>
                <w:noProof/>
                <w:webHidden/>
                <w:sz w:val="24"/>
                <w:szCs w:val="24"/>
              </w:rPr>
              <w:t>29</w:t>
            </w:r>
            <w:r w:rsidRPr="005F6A36">
              <w:rPr>
                <w:noProof/>
                <w:webHidden/>
                <w:sz w:val="24"/>
                <w:szCs w:val="24"/>
              </w:rPr>
              <w:fldChar w:fldCharType="end"/>
            </w:r>
          </w:hyperlink>
        </w:p>
        <w:p w14:paraId="54965EAB" w14:textId="724490C6" w:rsidR="007822A5" w:rsidRPr="005F6A36" w:rsidRDefault="007822A5">
          <w:pPr>
            <w:pStyle w:val="TOC1"/>
            <w:tabs>
              <w:tab w:val="left" w:pos="660"/>
            </w:tabs>
            <w:rPr>
              <w:rFonts w:ascii="Arial" w:eastAsiaTheme="minorEastAsia" w:hAnsi="Arial"/>
              <w:noProof/>
              <w:color w:val="auto"/>
              <w:kern w:val="2"/>
              <w:sz w:val="24"/>
              <w:szCs w:val="24"/>
              <w14:ligatures w14:val="standardContextual"/>
            </w:rPr>
          </w:pPr>
          <w:hyperlink w:anchor="_Toc240536478" w:history="1">
            <w:r w:rsidRPr="005F6A36">
              <w:rPr>
                <w:rStyle w:val="Hyperlink"/>
                <w:rFonts w:ascii="Arial" w:hAnsi="Arial"/>
                <w:noProof/>
                <w:sz w:val="24"/>
                <w:szCs w:val="24"/>
              </w:rPr>
              <w:t>8.</w:t>
            </w:r>
            <w:r w:rsidRPr="005F6A36">
              <w:rPr>
                <w:rFonts w:ascii="Arial" w:eastAsiaTheme="minorEastAsia" w:hAnsi="Arial"/>
                <w:noProof/>
                <w:color w:val="auto"/>
                <w:kern w:val="2"/>
                <w:sz w:val="24"/>
                <w:szCs w:val="24"/>
                <w14:ligatures w14:val="standardContextual"/>
              </w:rPr>
              <w:tab/>
            </w:r>
            <w:r w:rsidRPr="005F6A36">
              <w:rPr>
                <w:rStyle w:val="Hyperlink"/>
                <w:rFonts w:ascii="Arial" w:hAnsi="Arial"/>
                <w:noProof/>
                <w:sz w:val="24"/>
                <w:szCs w:val="24"/>
              </w:rPr>
              <w:t>Sustainability &amp; Social Procurement</w:t>
            </w:r>
            <w:r w:rsidRPr="005F6A36">
              <w:rPr>
                <w:rFonts w:ascii="Arial" w:hAnsi="Arial"/>
                <w:noProof/>
                <w:webHidden/>
                <w:sz w:val="24"/>
                <w:szCs w:val="24"/>
              </w:rPr>
              <w:tab/>
            </w:r>
            <w:r w:rsidRPr="005F6A36">
              <w:rPr>
                <w:rFonts w:ascii="Arial" w:hAnsi="Arial"/>
                <w:noProof/>
                <w:webHidden/>
                <w:sz w:val="24"/>
                <w:szCs w:val="24"/>
              </w:rPr>
              <w:fldChar w:fldCharType="begin"/>
            </w:r>
            <w:r w:rsidRPr="005F6A36">
              <w:rPr>
                <w:rFonts w:ascii="Arial" w:hAnsi="Arial"/>
                <w:noProof/>
                <w:webHidden/>
                <w:sz w:val="24"/>
                <w:szCs w:val="24"/>
              </w:rPr>
              <w:instrText xml:space="preserve"> PAGEREF _Toc240536478 \h </w:instrText>
            </w:r>
            <w:r w:rsidRPr="005F6A36">
              <w:rPr>
                <w:rFonts w:ascii="Arial" w:hAnsi="Arial"/>
                <w:noProof/>
                <w:webHidden/>
                <w:sz w:val="24"/>
                <w:szCs w:val="24"/>
              </w:rPr>
            </w:r>
            <w:r w:rsidRPr="005F6A36">
              <w:rPr>
                <w:rFonts w:ascii="Arial" w:hAnsi="Arial"/>
                <w:noProof/>
                <w:webHidden/>
                <w:sz w:val="24"/>
                <w:szCs w:val="24"/>
              </w:rPr>
              <w:fldChar w:fldCharType="separate"/>
            </w:r>
            <w:r w:rsidR="002C7F3A">
              <w:rPr>
                <w:rFonts w:ascii="Arial" w:hAnsi="Arial"/>
                <w:noProof/>
                <w:webHidden/>
                <w:sz w:val="24"/>
                <w:szCs w:val="24"/>
              </w:rPr>
              <w:t>29</w:t>
            </w:r>
            <w:r w:rsidRPr="005F6A36">
              <w:rPr>
                <w:rFonts w:ascii="Arial" w:hAnsi="Arial"/>
                <w:noProof/>
                <w:webHidden/>
                <w:sz w:val="24"/>
                <w:szCs w:val="24"/>
              </w:rPr>
              <w:fldChar w:fldCharType="end"/>
            </w:r>
          </w:hyperlink>
        </w:p>
        <w:p w14:paraId="27BA9BEA" w14:textId="159FC1CE" w:rsidR="007822A5" w:rsidRPr="005F6A36" w:rsidRDefault="007822A5">
          <w:pPr>
            <w:pStyle w:val="TOC3"/>
            <w:tabs>
              <w:tab w:val="left" w:pos="880"/>
            </w:tabs>
            <w:rPr>
              <w:rFonts w:eastAsiaTheme="minorEastAsia"/>
              <w:noProof/>
              <w:kern w:val="2"/>
              <w:sz w:val="24"/>
              <w:szCs w:val="24"/>
              <w14:ligatures w14:val="standardContextual"/>
            </w:rPr>
          </w:pPr>
          <w:hyperlink w:anchor="_Toc240536479" w:history="1">
            <w:r w:rsidRPr="005F6A36">
              <w:rPr>
                <w:rStyle w:val="Hyperlink"/>
                <w:noProof/>
                <w:sz w:val="24"/>
                <w:szCs w:val="24"/>
              </w:rPr>
              <w:t>8.1</w:t>
            </w:r>
            <w:r w:rsidRPr="005F6A36">
              <w:rPr>
                <w:rFonts w:eastAsiaTheme="minorEastAsia"/>
                <w:noProof/>
                <w:kern w:val="2"/>
                <w:sz w:val="24"/>
                <w:szCs w:val="24"/>
                <w14:ligatures w14:val="standardContextual"/>
              </w:rPr>
              <w:tab/>
            </w:r>
            <w:r w:rsidRPr="005F6A36">
              <w:rPr>
                <w:rStyle w:val="Hyperlink"/>
                <w:noProof/>
                <w:sz w:val="24"/>
                <w:szCs w:val="24"/>
              </w:rPr>
              <w:t>Environmental Sustainability</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_Toc240536479 \h </w:instrText>
            </w:r>
            <w:r w:rsidRPr="005F6A36">
              <w:rPr>
                <w:noProof/>
                <w:webHidden/>
                <w:sz w:val="24"/>
                <w:szCs w:val="24"/>
              </w:rPr>
            </w:r>
            <w:r w:rsidRPr="005F6A36">
              <w:rPr>
                <w:noProof/>
                <w:webHidden/>
                <w:sz w:val="24"/>
                <w:szCs w:val="24"/>
              </w:rPr>
              <w:fldChar w:fldCharType="separate"/>
            </w:r>
            <w:r w:rsidR="002C7F3A">
              <w:rPr>
                <w:noProof/>
                <w:webHidden/>
                <w:sz w:val="24"/>
                <w:szCs w:val="24"/>
              </w:rPr>
              <w:t>31</w:t>
            </w:r>
            <w:r w:rsidRPr="005F6A36">
              <w:rPr>
                <w:noProof/>
                <w:webHidden/>
                <w:sz w:val="24"/>
                <w:szCs w:val="24"/>
              </w:rPr>
              <w:fldChar w:fldCharType="end"/>
            </w:r>
          </w:hyperlink>
        </w:p>
        <w:p w14:paraId="3CFC3906" w14:textId="6052D5E4" w:rsidR="007822A5" w:rsidRPr="005F6A36" w:rsidRDefault="007822A5">
          <w:pPr>
            <w:pStyle w:val="TOC3"/>
            <w:tabs>
              <w:tab w:val="left" w:pos="880"/>
            </w:tabs>
            <w:rPr>
              <w:rFonts w:eastAsiaTheme="minorEastAsia"/>
              <w:noProof/>
              <w:kern w:val="2"/>
              <w:sz w:val="24"/>
              <w:szCs w:val="24"/>
              <w14:ligatures w14:val="standardContextual"/>
            </w:rPr>
          </w:pPr>
          <w:hyperlink w:anchor="_Toc240536480" w:history="1">
            <w:r w:rsidRPr="005F6A36">
              <w:rPr>
                <w:rStyle w:val="Hyperlink"/>
                <w:noProof/>
                <w:sz w:val="24"/>
                <w:szCs w:val="24"/>
              </w:rPr>
              <w:t>8.2</w:t>
            </w:r>
            <w:r w:rsidRPr="005F6A36">
              <w:rPr>
                <w:rFonts w:eastAsiaTheme="minorEastAsia"/>
                <w:noProof/>
                <w:kern w:val="2"/>
                <w:sz w:val="24"/>
                <w:szCs w:val="24"/>
                <w14:ligatures w14:val="standardContextual"/>
              </w:rPr>
              <w:tab/>
            </w:r>
            <w:r w:rsidRPr="005F6A36">
              <w:rPr>
                <w:rStyle w:val="Hyperlink"/>
                <w:noProof/>
                <w:sz w:val="24"/>
                <w:szCs w:val="24"/>
              </w:rPr>
              <w:t>Social Procurement</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_Toc240536480 \h </w:instrText>
            </w:r>
            <w:r w:rsidRPr="005F6A36">
              <w:rPr>
                <w:noProof/>
                <w:webHidden/>
                <w:sz w:val="24"/>
                <w:szCs w:val="24"/>
              </w:rPr>
            </w:r>
            <w:r w:rsidRPr="005F6A36">
              <w:rPr>
                <w:noProof/>
                <w:webHidden/>
                <w:sz w:val="24"/>
                <w:szCs w:val="24"/>
              </w:rPr>
              <w:fldChar w:fldCharType="separate"/>
            </w:r>
            <w:r w:rsidR="002C7F3A">
              <w:rPr>
                <w:noProof/>
                <w:webHidden/>
                <w:sz w:val="24"/>
                <w:szCs w:val="24"/>
              </w:rPr>
              <w:t>32</w:t>
            </w:r>
            <w:r w:rsidRPr="005F6A36">
              <w:rPr>
                <w:noProof/>
                <w:webHidden/>
                <w:sz w:val="24"/>
                <w:szCs w:val="24"/>
              </w:rPr>
              <w:fldChar w:fldCharType="end"/>
            </w:r>
          </w:hyperlink>
        </w:p>
        <w:p w14:paraId="33246CED" w14:textId="2C675CE7" w:rsidR="007822A5" w:rsidRPr="005F6A36" w:rsidRDefault="007822A5">
          <w:pPr>
            <w:pStyle w:val="TOC3"/>
            <w:tabs>
              <w:tab w:val="left" w:pos="880"/>
            </w:tabs>
            <w:rPr>
              <w:rFonts w:eastAsiaTheme="minorEastAsia"/>
              <w:noProof/>
              <w:kern w:val="2"/>
              <w:sz w:val="24"/>
              <w:szCs w:val="24"/>
              <w14:ligatures w14:val="standardContextual"/>
            </w:rPr>
          </w:pPr>
          <w:hyperlink w:anchor="_Toc240536481" w:history="1">
            <w:r w:rsidRPr="005F6A36">
              <w:rPr>
                <w:rStyle w:val="Hyperlink"/>
                <w:noProof/>
                <w:sz w:val="24"/>
                <w:szCs w:val="24"/>
              </w:rPr>
              <w:t>8.3</w:t>
            </w:r>
            <w:r w:rsidRPr="005F6A36">
              <w:rPr>
                <w:rFonts w:eastAsiaTheme="minorEastAsia"/>
                <w:noProof/>
                <w:kern w:val="2"/>
                <w:sz w:val="24"/>
                <w:szCs w:val="24"/>
                <w14:ligatures w14:val="standardContextual"/>
              </w:rPr>
              <w:tab/>
            </w:r>
            <w:r w:rsidRPr="005F6A36">
              <w:rPr>
                <w:rStyle w:val="Hyperlink"/>
                <w:noProof/>
                <w:sz w:val="24"/>
                <w:szCs w:val="24"/>
              </w:rPr>
              <w:t>Support of Local Business and Industry</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_Toc240536481 \h </w:instrText>
            </w:r>
            <w:r w:rsidRPr="005F6A36">
              <w:rPr>
                <w:noProof/>
                <w:webHidden/>
                <w:sz w:val="24"/>
                <w:szCs w:val="24"/>
              </w:rPr>
            </w:r>
            <w:r w:rsidRPr="005F6A36">
              <w:rPr>
                <w:noProof/>
                <w:webHidden/>
                <w:sz w:val="24"/>
                <w:szCs w:val="24"/>
              </w:rPr>
              <w:fldChar w:fldCharType="separate"/>
            </w:r>
            <w:r w:rsidR="002C7F3A">
              <w:rPr>
                <w:noProof/>
                <w:webHidden/>
                <w:sz w:val="24"/>
                <w:szCs w:val="24"/>
              </w:rPr>
              <w:t>32</w:t>
            </w:r>
            <w:r w:rsidRPr="005F6A36">
              <w:rPr>
                <w:noProof/>
                <w:webHidden/>
                <w:sz w:val="24"/>
                <w:szCs w:val="24"/>
              </w:rPr>
              <w:fldChar w:fldCharType="end"/>
            </w:r>
          </w:hyperlink>
        </w:p>
        <w:p w14:paraId="1773A075" w14:textId="54599B5A" w:rsidR="007822A5" w:rsidRPr="005F6A36" w:rsidRDefault="007822A5">
          <w:pPr>
            <w:pStyle w:val="TOC3"/>
            <w:tabs>
              <w:tab w:val="left" w:pos="880"/>
            </w:tabs>
            <w:rPr>
              <w:rFonts w:eastAsiaTheme="minorEastAsia"/>
              <w:noProof/>
              <w:kern w:val="2"/>
              <w:sz w:val="24"/>
              <w:szCs w:val="24"/>
              <w14:ligatures w14:val="standardContextual"/>
            </w:rPr>
          </w:pPr>
          <w:hyperlink w:anchor="_Toc240536482" w:history="1">
            <w:r w:rsidRPr="005F6A36">
              <w:rPr>
                <w:rStyle w:val="Hyperlink"/>
                <w:noProof/>
                <w:sz w:val="24"/>
                <w:szCs w:val="24"/>
              </w:rPr>
              <w:t>8.4</w:t>
            </w:r>
            <w:r w:rsidRPr="005F6A36">
              <w:rPr>
                <w:rFonts w:eastAsiaTheme="minorEastAsia"/>
                <w:noProof/>
                <w:kern w:val="2"/>
                <w:sz w:val="24"/>
                <w:szCs w:val="24"/>
                <w14:ligatures w14:val="standardContextual"/>
              </w:rPr>
              <w:tab/>
            </w:r>
            <w:r w:rsidRPr="005F6A36">
              <w:rPr>
                <w:rStyle w:val="Hyperlink"/>
                <w:noProof/>
                <w:sz w:val="24"/>
                <w:szCs w:val="24"/>
              </w:rPr>
              <w:t>Support for Indigenous businesses</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_Toc240536482 \h </w:instrText>
            </w:r>
            <w:r w:rsidRPr="005F6A36">
              <w:rPr>
                <w:noProof/>
                <w:webHidden/>
                <w:sz w:val="24"/>
                <w:szCs w:val="24"/>
              </w:rPr>
            </w:r>
            <w:r w:rsidRPr="005F6A36">
              <w:rPr>
                <w:noProof/>
                <w:webHidden/>
                <w:sz w:val="24"/>
                <w:szCs w:val="24"/>
              </w:rPr>
              <w:fldChar w:fldCharType="separate"/>
            </w:r>
            <w:r w:rsidR="002C7F3A">
              <w:rPr>
                <w:noProof/>
                <w:webHidden/>
                <w:sz w:val="24"/>
                <w:szCs w:val="24"/>
              </w:rPr>
              <w:t>33</w:t>
            </w:r>
            <w:r w:rsidRPr="005F6A36">
              <w:rPr>
                <w:noProof/>
                <w:webHidden/>
                <w:sz w:val="24"/>
                <w:szCs w:val="24"/>
              </w:rPr>
              <w:fldChar w:fldCharType="end"/>
            </w:r>
          </w:hyperlink>
        </w:p>
        <w:p w14:paraId="49DF729C" w14:textId="61BC3BE6" w:rsidR="007822A5" w:rsidRPr="005F6A36" w:rsidRDefault="007822A5">
          <w:pPr>
            <w:pStyle w:val="TOC3"/>
            <w:tabs>
              <w:tab w:val="left" w:pos="880"/>
            </w:tabs>
            <w:rPr>
              <w:rFonts w:eastAsiaTheme="minorEastAsia"/>
              <w:noProof/>
              <w:kern w:val="2"/>
              <w:sz w:val="24"/>
              <w:szCs w:val="24"/>
              <w14:ligatures w14:val="standardContextual"/>
            </w:rPr>
          </w:pPr>
          <w:hyperlink w:anchor="_Toc240536483" w:history="1">
            <w:r w:rsidRPr="005F6A36">
              <w:rPr>
                <w:rStyle w:val="Hyperlink"/>
                <w:noProof/>
                <w:sz w:val="24"/>
                <w:szCs w:val="24"/>
              </w:rPr>
              <w:t>8.5</w:t>
            </w:r>
            <w:r w:rsidRPr="005F6A36">
              <w:rPr>
                <w:rFonts w:eastAsiaTheme="minorEastAsia"/>
                <w:noProof/>
                <w:kern w:val="2"/>
                <w:sz w:val="24"/>
                <w:szCs w:val="24"/>
                <w14:ligatures w14:val="standardContextual"/>
              </w:rPr>
              <w:tab/>
            </w:r>
            <w:r w:rsidRPr="005F6A36">
              <w:rPr>
                <w:rStyle w:val="Hyperlink"/>
                <w:noProof/>
                <w:sz w:val="24"/>
                <w:szCs w:val="24"/>
              </w:rPr>
              <w:t>Social Enterprise</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_Toc240536483 \h </w:instrText>
            </w:r>
            <w:r w:rsidRPr="005F6A36">
              <w:rPr>
                <w:noProof/>
                <w:webHidden/>
                <w:sz w:val="24"/>
                <w:szCs w:val="24"/>
              </w:rPr>
            </w:r>
            <w:r w:rsidRPr="005F6A36">
              <w:rPr>
                <w:noProof/>
                <w:webHidden/>
                <w:sz w:val="24"/>
                <w:szCs w:val="24"/>
              </w:rPr>
              <w:fldChar w:fldCharType="separate"/>
            </w:r>
            <w:r w:rsidR="002C7F3A">
              <w:rPr>
                <w:noProof/>
                <w:webHidden/>
                <w:sz w:val="24"/>
                <w:szCs w:val="24"/>
              </w:rPr>
              <w:t>33</w:t>
            </w:r>
            <w:r w:rsidRPr="005F6A36">
              <w:rPr>
                <w:noProof/>
                <w:webHidden/>
                <w:sz w:val="24"/>
                <w:szCs w:val="24"/>
              </w:rPr>
              <w:fldChar w:fldCharType="end"/>
            </w:r>
          </w:hyperlink>
        </w:p>
        <w:p w14:paraId="1C3C96CD" w14:textId="3D7D33E7" w:rsidR="007822A5" w:rsidRPr="005F6A36" w:rsidRDefault="007822A5">
          <w:pPr>
            <w:pStyle w:val="TOC3"/>
            <w:tabs>
              <w:tab w:val="left" w:pos="880"/>
            </w:tabs>
            <w:rPr>
              <w:rFonts w:eastAsiaTheme="minorEastAsia"/>
              <w:noProof/>
              <w:kern w:val="2"/>
              <w:sz w:val="24"/>
              <w:szCs w:val="24"/>
              <w14:ligatures w14:val="standardContextual"/>
            </w:rPr>
          </w:pPr>
          <w:hyperlink w:anchor="_Toc240536484" w:history="1">
            <w:r w:rsidRPr="005F6A36">
              <w:rPr>
                <w:rStyle w:val="Hyperlink"/>
                <w:noProof/>
                <w:sz w:val="24"/>
                <w:szCs w:val="24"/>
              </w:rPr>
              <w:t>8.6</w:t>
            </w:r>
            <w:r w:rsidRPr="005F6A36">
              <w:rPr>
                <w:rFonts w:eastAsiaTheme="minorEastAsia"/>
                <w:noProof/>
                <w:kern w:val="2"/>
                <w:sz w:val="24"/>
                <w:szCs w:val="24"/>
                <w14:ligatures w14:val="standardContextual"/>
              </w:rPr>
              <w:tab/>
            </w:r>
            <w:r w:rsidRPr="005F6A36">
              <w:rPr>
                <w:rStyle w:val="Hyperlink"/>
                <w:noProof/>
                <w:sz w:val="24"/>
                <w:szCs w:val="24"/>
              </w:rPr>
              <w:t>Buy Australian</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_Toc240536484 \h </w:instrText>
            </w:r>
            <w:r w:rsidRPr="005F6A36">
              <w:rPr>
                <w:noProof/>
                <w:webHidden/>
                <w:sz w:val="24"/>
                <w:szCs w:val="24"/>
              </w:rPr>
            </w:r>
            <w:r w:rsidRPr="005F6A36">
              <w:rPr>
                <w:noProof/>
                <w:webHidden/>
                <w:sz w:val="24"/>
                <w:szCs w:val="24"/>
              </w:rPr>
              <w:fldChar w:fldCharType="separate"/>
            </w:r>
            <w:r w:rsidR="002C7F3A">
              <w:rPr>
                <w:noProof/>
                <w:webHidden/>
                <w:sz w:val="24"/>
                <w:szCs w:val="24"/>
              </w:rPr>
              <w:t>34</w:t>
            </w:r>
            <w:r w:rsidRPr="005F6A36">
              <w:rPr>
                <w:noProof/>
                <w:webHidden/>
                <w:sz w:val="24"/>
                <w:szCs w:val="24"/>
              </w:rPr>
              <w:fldChar w:fldCharType="end"/>
            </w:r>
          </w:hyperlink>
        </w:p>
        <w:p w14:paraId="5B71FEED" w14:textId="4A2B8878" w:rsidR="007822A5" w:rsidRPr="005F6A36" w:rsidRDefault="007822A5">
          <w:pPr>
            <w:pStyle w:val="TOC3"/>
            <w:tabs>
              <w:tab w:val="left" w:pos="880"/>
            </w:tabs>
            <w:rPr>
              <w:rFonts w:eastAsiaTheme="minorEastAsia"/>
              <w:noProof/>
              <w:kern w:val="2"/>
              <w:sz w:val="24"/>
              <w:szCs w:val="24"/>
              <w14:ligatures w14:val="standardContextual"/>
            </w:rPr>
          </w:pPr>
          <w:hyperlink w:anchor="_Toc240536485" w:history="1">
            <w:r w:rsidRPr="005F6A36">
              <w:rPr>
                <w:rStyle w:val="Hyperlink"/>
                <w:noProof/>
                <w:sz w:val="24"/>
                <w:szCs w:val="24"/>
              </w:rPr>
              <w:t>8.7</w:t>
            </w:r>
            <w:r w:rsidRPr="005F6A36">
              <w:rPr>
                <w:rFonts w:eastAsiaTheme="minorEastAsia"/>
                <w:noProof/>
                <w:kern w:val="2"/>
                <w:sz w:val="24"/>
                <w:szCs w:val="24"/>
                <w14:ligatures w14:val="standardContextual"/>
              </w:rPr>
              <w:tab/>
            </w:r>
            <w:r w:rsidRPr="005F6A36">
              <w:rPr>
                <w:rStyle w:val="Hyperlink"/>
                <w:noProof/>
                <w:sz w:val="24"/>
                <w:szCs w:val="24"/>
              </w:rPr>
              <w:t>Ethical Standards for the Acquisition of Textiles, Clothing and Footwear</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_Toc240536485 \h </w:instrText>
            </w:r>
            <w:r w:rsidRPr="005F6A36">
              <w:rPr>
                <w:noProof/>
                <w:webHidden/>
                <w:sz w:val="24"/>
                <w:szCs w:val="24"/>
              </w:rPr>
            </w:r>
            <w:r w:rsidRPr="005F6A36">
              <w:rPr>
                <w:noProof/>
                <w:webHidden/>
                <w:sz w:val="24"/>
                <w:szCs w:val="24"/>
              </w:rPr>
              <w:fldChar w:fldCharType="separate"/>
            </w:r>
            <w:r w:rsidR="002C7F3A">
              <w:rPr>
                <w:noProof/>
                <w:webHidden/>
                <w:sz w:val="24"/>
                <w:szCs w:val="24"/>
              </w:rPr>
              <w:t>34</w:t>
            </w:r>
            <w:r w:rsidRPr="005F6A36">
              <w:rPr>
                <w:noProof/>
                <w:webHidden/>
                <w:sz w:val="24"/>
                <w:szCs w:val="24"/>
              </w:rPr>
              <w:fldChar w:fldCharType="end"/>
            </w:r>
          </w:hyperlink>
        </w:p>
        <w:p w14:paraId="3F4DBCBD" w14:textId="5E2BD806" w:rsidR="007822A5" w:rsidRPr="005F6A36" w:rsidRDefault="007822A5">
          <w:pPr>
            <w:pStyle w:val="TOC1"/>
            <w:tabs>
              <w:tab w:val="left" w:pos="660"/>
            </w:tabs>
            <w:rPr>
              <w:rFonts w:ascii="Arial" w:eastAsiaTheme="minorEastAsia" w:hAnsi="Arial"/>
              <w:noProof/>
              <w:color w:val="auto"/>
              <w:kern w:val="2"/>
              <w:sz w:val="24"/>
              <w:szCs w:val="24"/>
              <w14:ligatures w14:val="standardContextual"/>
            </w:rPr>
          </w:pPr>
          <w:hyperlink w:anchor="_Toc240536486" w:history="1">
            <w:r w:rsidRPr="005F6A36">
              <w:rPr>
                <w:rStyle w:val="Hyperlink"/>
                <w:rFonts w:ascii="Arial" w:hAnsi="Arial"/>
                <w:noProof/>
                <w:sz w:val="24"/>
                <w:szCs w:val="24"/>
              </w:rPr>
              <w:t>9.</w:t>
            </w:r>
            <w:r w:rsidRPr="005F6A36">
              <w:rPr>
                <w:rFonts w:ascii="Arial" w:eastAsiaTheme="minorEastAsia" w:hAnsi="Arial"/>
                <w:noProof/>
                <w:color w:val="auto"/>
                <w:kern w:val="2"/>
                <w:sz w:val="24"/>
                <w:szCs w:val="24"/>
                <w14:ligatures w14:val="standardContextual"/>
              </w:rPr>
              <w:tab/>
            </w:r>
            <w:r w:rsidRPr="005F6A36">
              <w:rPr>
                <w:rStyle w:val="Hyperlink"/>
                <w:rFonts w:ascii="Arial" w:hAnsi="Arial"/>
                <w:noProof/>
                <w:sz w:val="24"/>
                <w:szCs w:val="24"/>
              </w:rPr>
              <w:t>Charter of Human Rights</w:t>
            </w:r>
            <w:r w:rsidRPr="005F6A36">
              <w:rPr>
                <w:rFonts w:ascii="Arial" w:hAnsi="Arial"/>
                <w:noProof/>
                <w:webHidden/>
                <w:sz w:val="24"/>
                <w:szCs w:val="24"/>
              </w:rPr>
              <w:tab/>
            </w:r>
            <w:r w:rsidRPr="005F6A36">
              <w:rPr>
                <w:rFonts w:ascii="Arial" w:hAnsi="Arial"/>
                <w:noProof/>
                <w:webHidden/>
                <w:sz w:val="24"/>
                <w:szCs w:val="24"/>
              </w:rPr>
              <w:fldChar w:fldCharType="begin"/>
            </w:r>
            <w:r w:rsidRPr="005F6A36">
              <w:rPr>
                <w:rFonts w:ascii="Arial" w:hAnsi="Arial"/>
                <w:noProof/>
                <w:webHidden/>
                <w:sz w:val="24"/>
                <w:szCs w:val="24"/>
              </w:rPr>
              <w:instrText xml:space="preserve"> PAGEREF _Toc240536486 \h </w:instrText>
            </w:r>
            <w:r w:rsidRPr="005F6A36">
              <w:rPr>
                <w:rFonts w:ascii="Arial" w:hAnsi="Arial"/>
                <w:noProof/>
                <w:webHidden/>
                <w:sz w:val="24"/>
                <w:szCs w:val="24"/>
              </w:rPr>
            </w:r>
            <w:r w:rsidRPr="005F6A36">
              <w:rPr>
                <w:rFonts w:ascii="Arial" w:hAnsi="Arial"/>
                <w:noProof/>
                <w:webHidden/>
                <w:sz w:val="24"/>
                <w:szCs w:val="24"/>
              </w:rPr>
              <w:fldChar w:fldCharType="separate"/>
            </w:r>
            <w:r w:rsidR="002C7F3A">
              <w:rPr>
                <w:rFonts w:ascii="Arial" w:hAnsi="Arial"/>
                <w:noProof/>
                <w:webHidden/>
                <w:sz w:val="24"/>
                <w:szCs w:val="24"/>
              </w:rPr>
              <w:t>34</w:t>
            </w:r>
            <w:r w:rsidRPr="005F6A36">
              <w:rPr>
                <w:rFonts w:ascii="Arial" w:hAnsi="Arial"/>
                <w:noProof/>
                <w:webHidden/>
                <w:sz w:val="24"/>
                <w:szCs w:val="24"/>
              </w:rPr>
              <w:fldChar w:fldCharType="end"/>
            </w:r>
          </w:hyperlink>
        </w:p>
        <w:p w14:paraId="244E750E" w14:textId="72F7C364" w:rsidR="007822A5" w:rsidRPr="005F6A36" w:rsidRDefault="007822A5">
          <w:pPr>
            <w:pStyle w:val="TOC3"/>
            <w:tabs>
              <w:tab w:val="left" w:pos="880"/>
            </w:tabs>
            <w:rPr>
              <w:rFonts w:eastAsiaTheme="minorEastAsia"/>
              <w:noProof/>
              <w:kern w:val="2"/>
              <w:sz w:val="24"/>
              <w:szCs w:val="24"/>
              <w14:ligatures w14:val="standardContextual"/>
            </w:rPr>
          </w:pPr>
          <w:hyperlink w:anchor="_Toc240536487" w:history="1">
            <w:r w:rsidRPr="005F6A36">
              <w:rPr>
                <w:rStyle w:val="Hyperlink"/>
                <w:noProof/>
                <w:sz w:val="24"/>
                <w:szCs w:val="24"/>
              </w:rPr>
              <w:t>9.1</w:t>
            </w:r>
            <w:r w:rsidRPr="005F6A36">
              <w:rPr>
                <w:rFonts w:eastAsiaTheme="minorEastAsia"/>
                <w:noProof/>
                <w:kern w:val="2"/>
                <w:sz w:val="24"/>
                <w:szCs w:val="24"/>
                <w14:ligatures w14:val="standardContextual"/>
              </w:rPr>
              <w:tab/>
            </w:r>
            <w:r w:rsidRPr="005F6A36">
              <w:rPr>
                <w:rStyle w:val="Hyperlink"/>
                <w:noProof/>
                <w:sz w:val="24"/>
                <w:szCs w:val="24"/>
              </w:rPr>
              <w:t>Diversity</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_Toc240536487 \h </w:instrText>
            </w:r>
            <w:r w:rsidRPr="005F6A36">
              <w:rPr>
                <w:noProof/>
                <w:webHidden/>
                <w:sz w:val="24"/>
                <w:szCs w:val="24"/>
              </w:rPr>
            </w:r>
            <w:r w:rsidRPr="005F6A36">
              <w:rPr>
                <w:noProof/>
                <w:webHidden/>
                <w:sz w:val="24"/>
                <w:szCs w:val="24"/>
              </w:rPr>
              <w:fldChar w:fldCharType="separate"/>
            </w:r>
            <w:r w:rsidR="002C7F3A">
              <w:rPr>
                <w:noProof/>
                <w:webHidden/>
                <w:sz w:val="24"/>
                <w:szCs w:val="24"/>
              </w:rPr>
              <w:t>35</w:t>
            </w:r>
            <w:r w:rsidRPr="005F6A36">
              <w:rPr>
                <w:noProof/>
                <w:webHidden/>
                <w:sz w:val="24"/>
                <w:szCs w:val="24"/>
              </w:rPr>
              <w:fldChar w:fldCharType="end"/>
            </w:r>
          </w:hyperlink>
        </w:p>
        <w:p w14:paraId="70ED5E1E" w14:textId="45CBB5D4" w:rsidR="007822A5" w:rsidRPr="005F6A36" w:rsidRDefault="007822A5">
          <w:pPr>
            <w:pStyle w:val="TOC3"/>
            <w:tabs>
              <w:tab w:val="left" w:pos="880"/>
            </w:tabs>
            <w:rPr>
              <w:rFonts w:eastAsiaTheme="minorEastAsia"/>
              <w:noProof/>
              <w:kern w:val="2"/>
              <w:sz w:val="24"/>
              <w:szCs w:val="24"/>
              <w14:ligatures w14:val="standardContextual"/>
            </w:rPr>
          </w:pPr>
          <w:hyperlink w:anchor="_Toc240536488" w:history="1">
            <w:r w:rsidRPr="005F6A36">
              <w:rPr>
                <w:rStyle w:val="Hyperlink"/>
                <w:noProof/>
                <w:sz w:val="24"/>
                <w:szCs w:val="24"/>
              </w:rPr>
              <w:t>9.2</w:t>
            </w:r>
            <w:r w:rsidRPr="005F6A36">
              <w:rPr>
                <w:rFonts w:eastAsiaTheme="minorEastAsia"/>
                <w:noProof/>
                <w:kern w:val="2"/>
                <w:sz w:val="24"/>
                <w:szCs w:val="24"/>
                <w14:ligatures w14:val="standardContextual"/>
              </w:rPr>
              <w:tab/>
            </w:r>
            <w:r w:rsidRPr="005F6A36">
              <w:rPr>
                <w:rStyle w:val="Hyperlink"/>
                <w:noProof/>
                <w:sz w:val="24"/>
                <w:szCs w:val="24"/>
              </w:rPr>
              <w:t>Gender Equality</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_Toc240536488 \h </w:instrText>
            </w:r>
            <w:r w:rsidRPr="005F6A36">
              <w:rPr>
                <w:noProof/>
                <w:webHidden/>
                <w:sz w:val="24"/>
                <w:szCs w:val="24"/>
              </w:rPr>
            </w:r>
            <w:r w:rsidRPr="005F6A36">
              <w:rPr>
                <w:noProof/>
                <w:webHidden/>
                <w:sz w:val="24"/>
                <w:szCs w:val="24"/>
              </w:rPr>
              <w:fldChar w:fldCharType="separate"/>
            </w:r>
            <w:r w:rsidR="002C7F3A">
              <w:rPr>
                <w:noProof/>
                <w:webHidden/>
                <w:sz w:val="24"/>
                <w:szCs w:val="24"/>
              </w:rPr>
              <w:t>35</w:t>
            </w:r>
            <w:r w:rsidRPr="005F6A36">
              <w:rPr>
                <w:noProof/>
                <w:webHidden/>
                <w:sz w:val="24"/>
                <w:szCs w:val="24"/>
              </w:rPr>
              <w:fldChar w:fldCharType="end"/>
            </w:r>
          </w:hyperlink>
        </w:p>
        <w:p w14:paraId="5D40A267" w14:textId="5751FBC1" w:rsidR="007822A5" w:rsidRPr="005F6A36" w:rsidRDefault="007822A5">
          <w:pPr>
            <w:pStyle w:val="TOC3"/>
            <w:tabs>
              <w:tab w:val="left" w:pos="880"/>
            </w:tabs>
            <w:rPr>
              <w:rFonts w:eastAsiaTheme="minorEastAsia"/>
              <w:noProof/>
              <w:kern w:val="2"/>
              <w:sz w:val="24"/>
              <w:szCs w:val="24"/>
              <w14:ligatures w14:val="standardContextual"/>
            </w:rPr>
          </w:pPr>
          <w:hyperlink w:anchor="_Toc240536489" w:history="1">
            <w:r w:rsidRPr="005F6A36">
              <w:rPr>
                <w:rStyle w:val="Hyperlink"/>
                <w:noProof/>
                <w:sz w:val="24"/>
                <w:szCs w:val="24"/>
              </w:rPr>
              <w:t>9.3</w:t>
            </w:r>
            <w:r w:rsidRPr="005F6A36">
              <w:rPr>
                <w:rFonts w:eastAsiaTheme="minorEastAsia"/>
                <w:noProof/>
                <w:kern w:val="2"/>
                <w:sz w:val="24"/>
                <w:szCs w:val="24"/>
                <w14:ligatures w14:val="standardContextual"/>
              </w:rPr>
              <w:tab/>
            </w:r>
            <w:r w:rsidRPr="005F6A36">
              <w:rPr>
                <w:rStyle w:val="Hyperlink"/>
                <w:noProof/>
                <w:sz w:val="24"/>
                <w:szCs w:val="24"/>
              </w:rPr>
              <w:t>Safeguarding Children and Young People</w:t>
            </w:r>
            <w:r w:rsidRPr="005F6A36">
              <w:rPr>
                <w:noProof/>
                <w:webHidden/>
                <w:sz w:val="24"/>
                <w:szCs w:val="24"/>
              </w:rPr>
              <w:tab/>
            </w:r>
            <w:r w:rsidRPr="005F6A36">
              <w:rPr>
                <w:noProof/>
                <w:webHidden/>
                <w:sz w:val="24"/>
                <w:szCs w:val="24"/>
              </w:rPr>
              <w:fldChar w:fldCharType="begin"/>
            </w:r>
            <w:r w:rsidRPr="005F6A36">
              <w:rPr>
                <w:noProof/>
                <w:webHidden/>
                <w:sz w:val="24"/>
                <w:szCs w:val="24"/>
              </w:rPr>
              <w:instrText xml:space="preserve"> PAGEREF _Toc240536489 \h </w:instrText>
            </w:r>
            <w:r w:rsidRPr="005F6A36">
              <w:rPr>
                <w:noProof/>
                <w:webHidden/>
                <w:sz w:val="24"/>
                <w:szCs w:val="24"/>
              </w:rPr>
            </w:r>
            <w:r w:rsidRPr="005F6A36">
              <w:rPr>
                <w:noProof/>
                <w:webHidden/>
                <w:sz w:val="24"/>
                <w:szCs w:val="24"/>
              </w:rPr>
              <w:fldChar w:fldCharType="separate"/>
            </w:r>
            <w:r w:rsidR="002C7F3A">
              <w:rPr>
                <w:noProof/>
                <w:webHidden/>
                <w:sz w:val="24"/>
                <w:szCs w:val="24"/>
              </w:rPr>
              <w:t>36</w:t>
            </w:r>
            <w:r w:rsidRPr="005F6A36">
              <w:rPr>
                <w:noProof/>
                <w:webHidden/>
                <w:sz w:val="24"/>
                <w:szCs w:val="24"/>
              </w:rPr>
              <w:fldChar w:fldCharType="end"/>
            </w:r>
          </w:hyperlink>
        </w:p>
        <w:p w14:paraId="13A32CDA" w14:textId="08EF934E" w:rsidR="007822A5" w:rsidRPr="005F6A36" w:rsidRDefault="007822A5">
          <w:pPr>
            <w:pStyle w:val="TOC1"/>
            <w:tabs>
              <w:tab w:val="left" w:pos="660"/>
            </w:tabs>
            <w:rPr>
              <w:rFonts w:ascii="Arial" w:eastAsiaTheme="minorEastAsia" w:hAnsi="Arial"/>
              <w:noProof/>
              <w:color w:val="auto"/>
              <w:kern w:val="2"/>
              <w:sz w:val="24"/>
              <w:szCs w:val="24"/>
              <w14:ligatures w14:val="standardContextual"/>
            </w:rPr>
          </w:pPr>
          <w:hyperlink w:anchor="_Toc240536490" w:history="1">
            <w:r w:rsidRPr="005F6A36">
              <w:rPr>
                <w:rStyle w:val="Hyperlink"/>
                <w:rFonts w:ascii="Arial" w:hAnsi="Arial"/>
                <w:noProof/>
                <w:sz w:val="24"/>
                <w:szCs w:val="24"/>
              </w:rPr>
              <w:t>10.</w:t>
            </w:r>
            <w:r w:rsidRPr="005F6A36">
              <w:rPr>
                <w:rFonts w:ascii="Arial" w:eastAsiaTheme="minorEastAsia" w:hAnsi="Arial"/>
                <w:noProof/>
                <w:color w:val="auto"/>
                <w:kern w:val="2"/>
                <w:sz w:val="24"/>
                <w:szCs w:val="24"/>
                <w14:ligatures w14:val="standardContextual"/>
              </w:rPr>
              <w:tab/>
            </w:r>
            <w:r w:rsidRPr="005F6A36">
              <w:rPr>
                <w:rStyle w:val="Hyperlink"/>
                <w:rFonts w:ascii="Arial" w:hAnsi="Arial"/>
                <w:noProof/>
                <w:sz w:val="24"/>
                <w:szCs w:val="24"/>
              </w:rPr>
              <w:t>Glossary of Terms</w:t>
            </w:r>
            <w:r w:rsidRPr="005F6A36">
              <w:rPr>
                <w:rFonts w:ascii="Arial" w:hAnsi="Arial"/>
                <w:noProof/>
                <w:webHidden/>
                <w:sz w:val="24"/>
                <w:szCs w:val="24"/>
              </w:rPr>
              <w:tab/>
            </w:r>
            <w:r w:rsidRPr="005F6A36">
              <w:rPr>
                <w:rFonts w:ascii="Arial" w:hAnsi="Arial"/>
                <w:noProof/>
                <w:webHidden/>
                <w:sz w:val="24"/>
                <w:szCs w:val="24"/>
              </w:rPr>
              <w:fldChar w:fldCharType="begin"/>
            </w:r>
            <w:r w:rsidRPr="005F6A36">
              <w:rPr>
                <w:rFonts w:ascii="Arial" w:hAnsi="Arial"/>
                <w:noProof/>
                <w:webHidden/>
                <w:sz w:val="24"/>
                <w:szCs w:val="24"/>
              </w:rPr>
              <w:instrText xml:space="preserve"> PAGEREF _Toc240536490 \h </w:instrText>
            </w:r>
            <w:r w:rsidRPr="005F6A36">
              <w:rPr>
                <w:rFonts w:ascii="Arial" w:hAnsi="Arial"/>
                <w:noProof/>
                <w:webHidden/>
                <w:sz w:val="24"/>
                <w:szCs w:val="24"/>
              </w:rPr>
            </w:r>
            <w:r w:rsidRPr="005F6A36">
              <w:rPr>
                <w:rFonts w:ascii="Arial" w:hAnsi="Arial"/>
                <w:noProof/>
                <w:webHidden/>
                <w:sz w:val="24"/>
                <w:szCs w:val="24"/>
              </w:rPr>
              <w:fldChar w:fldCharType="separate"/>
            </w:r>
            <w:r w:rsidR="002C7F3A">
              <w:rPr>
                <w:rFonts w:ascii="Arial" w:hAnsi="Arial"/>
                <w:noProof/>
                <w:webHidden/>
                <w:sz w:val="24"/>
                <w:szCs w:val="24"/>
              </w:rPr>
              <w:t>36</w:t>
            </w:r>
            <w:r w:rsidRPr="005F6A36">
              <w:rPr>
                <w:rFonts w:ascii="Arial" w:hAnsi="Arial"/>
                <w:noProof/>
                <w:webHidden/>
                <w:sz w:val="24"/>
                <w:szCs w:val="24"/>
              </w:rPr>
              <w:fldChar w:fldCharType="end"/>
            </w:r>
          </w:hyperlink>
        </w:p>
        <w:p w14:paraId="75FC5C17" w14:textId="2380920C" w:rsidR="007822A5" w:rsidRPr="005F6A36" w:rsidRDefault="007822A5">
          <w:pPr>
            <w:pStyle w:val="TOC1"/>
            <w:rPr>
              <w:rFonts w:ascii="Arial" w:eastAsiaTheme="minorEastAsia" w:hAnsi="Arial"/>
              <w:noProof/>
              <w:color w:val="auto"/>
              <w:kern w:val="2"/>
              <w:sz w:val="24"/>
              <w:szCs w:val="24"/>
              <w14:ligatures w14:val="standardContextual"/>
            </w:rPr>
          </w:pPr>
          <w:hyperlink w:anchor="_Toc240536491" w:history="1">
            <w:r w:rsidRPr="005F6A36">
              <w:rPr>
                <w:rStyle w:val="Hyperlink"/>
                <w:rFonts w:ascii="Arial" w:hAnsi="Arial"/>
                <w:noProof/>
                <w:sz w:val="24"/>
                <w:szCs w:val="24"/>
              </w:rPr>
              <w:t>Appendix A: Procurement Thresholds</w:t>
            </w:r>
            <w:r w:rsidRPr="005F6A36">
              <w:rPr>
                <w:rFonts w:ascii="Arial" w:hAnsi="Arial"/>
                <w:noProof/>
                <w:webHidden/>
                <w:sz w:val="24"/>
                <w:szCs w:val="24"/>
              </w:rPr>
              <w:tab/>
            </w:r>
            <w:r w:rsidRPr="005F6A36">
              <w:rPr>
                <w:rFonts w:ascii="Arial" w:hAnsi="Arial"/>
                <w:noProof/>
                <w:webHidden/>
                <w:sz w:val="24"/>
                <w:szCs w:val="24"/>
              </w:rPr>
              <w:fldChar w:fldCharType="begin"/>
            </w:r>
            <w:r w:rsidRPr="005F6A36">
              <w:rPr>
                <w:rFonts w:ascii="Arial" w:hAnsi="Arial"/>
                <w:noProof/>
                <w:webHidden/>
                <w:sz w:val="24"/>
                <w:szCs w:val="24"/>
              </w:rPr>
              <w:instrText xml:space="preserve"> PAGEREF _Toc240536491 \h </w:instrText>
            </w:r>
            <w:r w:rsidRPr="005F6A36">
              <w:rPr>
                <w:rFonts w:ascii="Arial" w:hAnsi="Arial"/>
                <w:noProof/>
                <w:webHidden/>
                <w:sz w:val="24"/>
                <w:szCs w:val="24"/>
              </w:rPr>
            </w:r>
            <w:r w:rsidRPr="005F6A36">
              <w:rPr>
                <w:rFonts w:ascii="Arial" w:hAnsi="Arial"/>
                <w:noProof/>
                <w:webHidden/>
                <w:sz w:val="24"/>
                <w:szCs w:val="24"/>
              </w:rPr>
              <w:fldChar w:fldCharType="separate"/>
            </w:r>
            <w:r w:rsidR="002C7F3A">
              <w:rPr>
                <w:rFonts w:ascii="Arial" w:hAnsi="Arial"/>
                <w:noProof/>
                <w:webHidden/>
                <w:sz w:val="24"/>
                <w:szCs w:val="24"/>
              </w:rPr>
              <w:t>38</w:t>
            </w:r>
            <w:r w:rsidRPr="005F6A36">
              <w:rPr>
                <w:rFonts w:ascii="Arial" w:hAnsi="Arial"/>
                <w:noProof/>
                <w:webHidden/>
                <w:sz w:val="24"/>
                <w:szCs w:val="24"/>
              </w:rPr>
              <w:fldChar w:fldCharType="end"/>
            </w:r>
          </w:hyperlink>
        </w:p>
        <w:p w14:paraId="6D65E7B2" w14:textId="5035A658" w:rsidR="007822A5" w:rsidRPr="005F6A36" w:rsidRDefault="007822A5">
          <w:pPr>
            <w:pStyle w:val="TOC1"/>
            <w:rPr>
              <w:rFonts w:ascii="Arial" w:eastAsiaTheme="minorEastAsia" w:hAnsi="Arial"/>
              <w:noProof/>
              <w:color w:val="auto"/>
              <w:kern w:val="2"/>
              <w:sz w:val="24"/>
              <w:szCs w:val="24"/>
              <w14:ligatures w14:val="standardContextual"/>
            </w:rPr>
          </w:pPr>
          <w:hyperlink w:anchor="_Toc240536492" w:history="1">
            <w:r w:rsidRPr="005F6A36">
              <w:rPr>
                <w:rStyle w:val="Hyperlink"/>
                <w:rFonts w:ascii="Arial" w:hAnsi="Arial"/>
                <w:noProof/>
                <w:sz w:val="24"/>
                <w:szCs w:val="24"/>
              </w:rPr>
              <w:t>Appendix B: Contract Variation and Renewal Approval Authorities</w:t>
            </w:r>
            <w:r w:rsidRPr="005F6A36">
              <w:rPr>
                <w:rFonts w:ascii="Arial" w:hAnsi="Arial"/>
                <w:noProof/>
                <w:webHidden/>
                <w:sz w:val="24"/>
                <w:szCs w:val="24"/>
              </w:rPr>
              <w:tab/>
            </w:r>
            <w:r w:rsidRPr="005F6A36">
              <w:rPr>
                <w:rFonts w:ascii="Arial" w:hAnsi="Arial"/>
                <w:noProof/>
                <w:webHidden/>
                <w:sz w:val="24"/>
                <w:szCs w:val="24"/>
              </w:rPr>
              <w:fldChar w:fldCharType="begin"/>
            </w:r>
            <w:r w:rsidRPr="005F6A36">
              <w:rPr>
                <w:rFonts w:ascii="Arial" w:hAnsi="Arial"/>
                <w:noProof/>
                <w:webHidden/>
                <w:sz w:val="24"/>
                <w:szCs w:val="24"/>
              </w:rPr>
              <w:instrText xml:space="preserve"> PAGEREF _Toc240536492 \h </w:instrText>
            </w:r>
            <w:r w:rsidRPr="005F6A36">
              <w:rPr>
                <w:rFonts w:ascii="Arial" w:hAnsi="Arial"/>
                <w:noProof/>
                <w:webHidden/>
                <w:sz w:val="24"/>
                <w:szCs w:val="24"/>
              </w:rPr>
            </w:r>
            <w:r w:rsidRPr="005F6A36">
              <w:rPr>
                <w:rFonts w:ascii="Arial" w:hAnsi="Arial"/>
                <w:noProof/>
                <w:webHidden/>
                <w:sz w:val="24"/>
                <w:szCs w:val="24"/>
              </w:rPr>
              <w:fldChar w:fldCharType="separate"/>
            </w:r>
            <w:r w:rsidR="002C7F3A">
              <w:rPr>
                <w:rFonts w:ascii="Arial" w:hAnsi="Arial"/>
                <w:noProof/>
                <w:webHidden/>
                <w:sz w:val="24"/>
                <w:szCs w:val="24"/>
              </w:rPr>
              <w:t>41</w:t>
            </w:r>
            <w:r w:rsidRPr="005F6A36">
              <w:rPr>
                <w:rFonts w:ascii="Arial" w:hAnsi="Arial"/>
                <w:noProof/>
                <w:webHidden/>
                <w:sz w:val="24"/>
                <w:szCs w:val="24"/>
              </w:rPr>
              <w:fldChar w:fldCharType="end"/>
            </w:r>
          </w:hyperlink>
        </w:p>
        <w:p w14:paraId="797695EA" w14:textId="42312006" w:rsidR="007822A5" w:rsidRPr="005F6A36" w:rsidRDefault="007822A5">
          <w:pPr>
            <w:pStyle w:val="TOC1"/>
            <w:rPr>
              <w:rFonts w:ascii="Arial" w:eastAsiaTheme="minorEastAsia" w:hAnsi="Arial"/>
              <w:noProof/>
              <w:color w:val="auto"/>
              <w:kern w:val="2"/>
              <w:sz w:val="24"/>
              <w:szCs w:val="24"/>
              <w14:ligatures w14:val="standardContextual"/>
            </w:rPr>
          </w:pPr>
          <w:hyperlink w:anchor="_Toc240536493" w:history="1">
            <w:r w:rsidRPr="005F6A36">
              <w:rPr>
                <w:rStyle w:val="Hyperlink"/>
                <w:rFonts w:ascii="Arial" w:hAnsi="Arial"/>
                <w:noProof/>
                <w:sz w:val="24"/>
                <w:szCs w:val="24"/>
              </w:rPr>
              <w:t>Appendix C: Procurement Exemptions</w:t>
            </w:r>
            <w:r w:rsidRPr="005F6A36">
              <w:rPr>
                <w:rFonts w:ascii="Arial" w:hAnsi="Arial"/>
                <w:noProof/>
                <w:webHidden/>
                <w:sz w:val="24"/>
                <w:szCs w:val="24"/>
              </w:rPr>
              <w:tab/>
            </w:r>
            <w:r w:rsidRPr="005F6A36">
              <w:rPr>
                <w:rFonts w:ascii="Arial" w:hAnsi="Arial"/>
                <w:noProof/>
                <w:webHidden/>
                <w:sz w:val="24"/>
                <w:szCs w:val="24"/>
              </w:rPr>
              <w:fldChar w:fldCharType="begin"/>
            </w:r>
            <w:r w:rsidRPr="005F6A36">
              <w:rPr>
                <w:rFonts w:ascii="Arial" w:hAnsi="Arial"/>
                <w:noProof/>
                <w:webHidden/>
                <w:sz w:val="24"/>
                <w:szCs w:val="24"/>
              </w:rPr>
              <w:instrText xml:space="preserve"> PAGEREF _Toc240536493 \h </w:instrText>
            </w:r>
            <w:r w:rsidRPr="005F6A36">
              <w:rPr>
                <w:rFonts w:ascii="Arial" w:hAnsi="Arial"/>
                <w:noProof/>
                <w:webHidden/>
                <w:sz w:val="24"/>
                <w:szCs w:val="24"/>
              </w:rPr>
            </w:r>
            <w:r w:rsidRPr="005F6A36">
              <w:rPr>
                <w:rFonts w:ascii="Arial" w:hAnsi="Arial"/>
                <w:noProof/>
                <w:webHidden/>
                <w:sz w:val="24"/>
                <w:szCs w:val="24"/>
              </w:rPr>
              <w:fldChar w:fldCharType="separate"/>
            </w:r>
            <w:r w:rsidR="002C7F3A">
              <w:rPr>
                <w:rFonts w:ascii="Arial" w:hAnsi="Arial"/>
                <w:noProof/>
                <w:webHidden/>
                <w:sz w:val="24"/>
                <w:szCs w:val="24"/>
              </w:rPr>
              <w:t>42</w:t>
            </w:r>
            <w:r w:rsidRPr="005F6A36">
              <w:rPr>
                <w:rFonts w:ascii="Arial" w:hAnsi="Arial"/>
                <w:noProof/>
                <w:webHidden/>
                <w:sz w:val="24"/>
                <w:szCs w:val="24"/>
              </w:rPr>
              <w:fldChar w:fldCharType="end"/>
            </w:r>
          </w:hyperlink>
        </w:p>
        <w:p w14:paraId="556234C2" w14:textId="17AFE6A1" w:rsidR="007822A5" w:rsidRPr="005F6A36" w:rsidRDefault="007822A5">
          <w:pPr>
            <w:pStyle w:val="TOC1"/>
            <w:rPr>
              <w:rFonts w:ascii="Arial" w:eastAsiaTheme="minorEastAsia" w:hAnsi="Arial"/>
              <w:noProof/>
              <w:color w:val="auto"/>
              <w:kern w:val="2"/>
              <w:sz w:val="24"/>
              <w:szCs w:val="24"/>
              <w14:ligatures w14:val="standardContextual"/>
            </w:rPr>
          </w:pPr>
          <w:hyperlink w:anchor="_Toc240536494" w:history="1">
            <w:r w:rsidRPr="005F6A36">
              <w:rPr>
                <w:rStyle w:val="Hyperlink"/>
                <w:rFonts w:ascii="Arial" w:hAnsi="Arial"/>
                <w:noProof/>
                <w:sz w:val="24"/>
                <w:szCs w:val="24"/>
              </w:rPr>
              <w:t>Appendix D: Legislative Compliance and Related Policies</w:t>
            </w:r>
            <w:r w:rsidRPr="005F6A36">
              <w:rPr>
                <w:rFonts w:ascii="Arial" w:hAnsi="Arial"/>
                <w:noProof/>
                <w:webHidden/>
                <w:sz w:val="24"/>
                <w:szCs w:val="24"/>
              </w:rPr>
              <w:tab/>
            </w:r>
            <w:r w:rsidRPr="005F6A36">
              <w:rPr>
                <w:rFonts w:ascii="Arial" w:hAnsi="Arial"/>
                <w:noProof/>
                <w:webHidden/>
                <w:sz w:val="24"/>
                <w:szCs w:val="24"/>
              </w:rPr>
              <w:fldChar w:fldCharType="begin"/>
            </w:r>
            <w:r w:rsidRPr="005F6A36">
              <w:rPr>
                <w:rFonts w:ascii="Arial" w:hAnsi="Arial"/>
                <w:noProof/>
                <w:webHidden/>
                <w:sz w:val="24"/>
                <w:szCs w:val="24"/>
              </w:rPr>
              <w:instrText xml:space="preserve"> PAGEREF _Toc240536494 \h </w:instrText>
            </w:r>
            <w:r w:rsidRPr="005F6A36">
              <w:rPr>
                <w:rFonts w:ascii="Arial" w:hAnsi="Arial"/>
                <w:noProof/>
                <w:webHidden/>
                <w:sz w:val="24"/>
                <w:szCs w:val="24"/>
              </w:rPr>
            </w:r>
            <w:r w:rsidRPr="005F6A36">
              <w:rPr>
                <w:rFonts w:ascii="Arial" w:hAnsi="Arial"/>
                <w:noProof/>
                <w:webHidden/>
                <w:sz w:val="24"/>
                <w:szCs w:val="24"/>
              </w:rPr>
              <w:fldChar w:fldCharType="separate"/>
            </w:r>
            <w:r w:rsidR="002C7F3A">
              <w:rPr>
                <w:rFonts w:ascii="Arial" w:hAnsi="Arial"/>
                <w:noProof/>
                <w:webHidden/>
                <w:sz w:val="24"/>
                <w:szCs w:val="24"/>
              </w:rPr>
              <w:t>45</w:t>
            </w:r>
            <w:r w:rsidRPr="005F6A36">
              <w:rPr>
                <w:rFonts w:ascii="Arial" w:hAnsi="Arial"/>
                <w:noProof/>
                <w:webHidden/>
                <w:sz w:val="24"/>
                <w:szCs w:val="24"/>
              </w:rPr>
              <w:fldChar w:fldCharType="end"/>
            </w:r>
          </w:hyperlink>
        </w:p>
        <w:p w14:paraId="58D3ED61" w14:textId="338ECEF8" w:rsidR="00AA1B20" w:rsidRPr="005F6A36" w:rsidRDefault="00AA1B20" w:rsidP="00AA1B20">
          <w:pPr>
            <w:spacing w:before="0" w:after="0" w:line="240" w:lineRule="atLeast"/>
            <w:rPr>
              <w:sz w:val="21"/>
              <w:szCs w:val="21"/>
            </w:rPr>
          </w:pPr>
          <w:r w:rsidRPr="005F6A36">
            <w:rPr>
              <w:b/>
              <w:bCs/>
              <w:noProof/>
              <w:sz w:val="24"/>
              <w:szCs w:val="24"/>
            </w:rPr>
            <w:fldChar w:fldCharType="end"/>
          </w:r>
        </w:p>
      </w:sdtContent>
    </w:sdt>
    <w:p w14:paraId="2330C180" w14:textId="0AFFE15C" w:rsidR="00694501" w:rsidRPr="005F6A36" w:rsidRDefault="00694501" w:rsidP="00694501">
      <w:pPr>
        <w:rPr>
          <w:sz w:val="21"/>
          <w:szCs w:val="21"/>
        </w:rPr>
      </w:pPr>
    </w:p>
    <w:p w14:paraId="207BFEAE" w14:textId="15754C8F" w:rsidR="00694501" w:rsidRPr="005F6A36" w:rsidRDefault="00694501" w:rsidP="00694501">
      <w:pPr>
        <w:rPr>
          <w:sz w:val="21"/>
          <w:szCs w:val="21"/>
        </w:rPr>
      </w:pPr>
    </w:p>
    <w:p w14:paraId="5006BE06" w14:textId="2DB4CF3D" w:rsidR="00694501" w:rsidRPr="005F6A36" w:rsidRDefault="00694501" w:rsidP="00694501">
      <w:pPr>
        <w:rPr>
          <w:sz w:val="21"/>
          <w:szCs w:val="21"/>
        </w:rPr>
      </w:pPr>
    </w:p>
    <w:p w14:paraId="3341BFA2" w14:textId="3341BFA2" w:rsidR="00694501" w:rsidRPr="005F6A36" w:rsidRDefault="00694501" w:rsidP="00195790">
      <w:pPr>
        <w:pStyle w:val="Heading1"/>
        <w:keepLines/>
        <w:numPr>
          <w:ilvl w:val="0"/>
          <w:numId w:val="11"/>
        </w:numPr>
        <w:spacing w:before="480" w:after="0" w:line="276" w:lineRule="auto"/>
        <w:rPr>
          <w:sz w:val="36"/>
          <w:szCs w:val="36"/>
        </w:rPr>
      </w:pPr>
      <w:bookmarkStart w:id="0" w:name="_Toc240536439"/>
      <w:r w:rsidRPr="005F6A36">
        <w:rPr>
          <w:sz w:val="36"/>
          <w:szCs w:val="36"/>
        </w:rPr>
        <w:t>Strategic Procurement Objectives</w:t>
      </w:r>
      <w:bookmarkEnd w:id="0"/>
    </w:p>
    <w:p w14:paraId="5992DCAE" w14:textId="5E3F2828" w:rsidR="00930370" w:rsidRPr="002C7F3A" w:rsidRDefault="00694501" w:rsidP="007822A5">
      <w:pPr>
        <w:pStyle w:val="proc1"/>
        <w:numPr>
          <w:ilvl w:val="1"/>
          <w:numId w:val="11"/>
        </w:numPr>
        <w:rPr>
          <w:sz w:val="28"/>
          <w:szCs w:val="28"/>
        </w:rPr>
      </w:pPr>
      <w:bookmarkStart w:id="1" w:name="_Toc240536440"/>
      <w:r w:rsidRPr="002C7F3A">
        <w:rPr>
          <w:sz w:val="28"/>
          <w:szCs w:val="28"/>
        </w:rPr>
        <w:t>Purpose</w:t>
      </w:r>
      <w:bookmarkEnd w:id="1"/>
    </w:p>
    <w:p w14:paraId="2D3C30BF" w14:textId="77777777" w:rsidR="007822A5" w:rsidRPr="002C7F3A" w:rsidRDefault="007822A5">
      <w:pPr>
        <w:pStyle w:val="Heading2"/>
        <w:rPr>
          <w:kern w:val="2"/>
          <w:sz w:val="28"/>
          <w:szCs w:val="28"/>
          <w14:ligatures w14:val="standardContextual"/>
        </w:rPr>
      </w:pPr>
      <w:r w:rsidRPr="002C7F3A">
        <w:rPr>
          <w:sz w:val="28"/>
          <w:szCs w:val="28"/>
        </w:rPr>
        <w:t>Why this policy exists</w:t>
      </w:r>
    </w:p>
    <w:p w14:paraId="06D7DA6B" w14:textId="499F2579" w:rsidR="00055CD3" w:rsidRPr="005F6A36" w:rsidRDefault="007700A3" w:rsidP="00330A19">
      <w:pPr>
        <w:pStyle w:val="Body"/>
        <w:spacing w:after="240" w:line="233" w:lineRule="auto"/>
        <w:ind w:left="425"/>
        <w:rPr>
          <w:rFonts w:ascii="Arial" w:hAnsi="Arial"/>
          <w:sz w:val="24"/>
          <w:szCs w:val="24"/>
        </w:rPr>
      </w:pPr>
      <w:r w:rsidRPr="005F6A36">
        <w:rPr>
          <w:rFonts w:ascii="Arial" w:hAnsi="Arial"/>
          <w:sz w:val="24"/>
          <w:szCs w:val="24"/>
          <w:lang w:val="en-AU" w:eastAsia="en-AU"/>
        </w:rPr>
        <w:t>Yarra City Council spends more than $150 million each year on goods, services and capital works. How this money is spent matters. It affects the quality and affordability of Council services, the strength of the local economy, the sustainability of the environment, and Council’s ability to meet the needs of current and future generations.</w:t>
      </w:r>
    </w:p>
    <w:p w14:paraId="2A7771F2" w14:textId="43A1D7B7" w:rsidR="00D10C45" w:rsidRPr="005F6A36" w:rsidRDefault="007700A3" w:rsidP="00330A19">
      <w:pPr>
        <w:pStyle w:val="Body"/>
        <w:spacing w:after="240" w:line="233" w:lineRule="auto"/>
        <w:ind w:left="425"/>
        <w:rPr>
          <w:rFonts w:ascii="Arial" w:hAnsi="Arial"/>
          <w:sz w:val="24"/>
          <w:szCs w:val="24"/>
        </w:rPr>
      </w:pPr>
      <w:r w:rsidRPr="005F6A36">
        <w:rPr>
          <w:rFonts w:ascii="Arial" w:hAnsi="Arial"/>
          <w:sz w:val="24"/>
          <w:szCs w:val="24"/>
        </w:rPr>
        <w:t>Procurement is therefore not just an administrative function or a set of rules. It is one of Council’s most powerful strategic levers for achieving community outcomes while safeguarding public funds.</w:t>
      </w:r>
    </w:p>
    <w:p w14:paraId="42CA795F" w14:textId="77777777" w:rsidR="007822A5" w:rsidRPr="002C7F3A" w:rsidRDefault="007822A5">
      <w:pPr>
        <w:pStyle w:val="Heading2"/>
        <w:rPr>
          <w:kern w:val="2"/>
          <w:sz w:val="28"/>
          <w:szCs w:val="28"/>
          <w14:ligatures w14:val="standardContextual"/>
        </w:rPr>
      </w:pPr>
      <w:r w:rsidRPr="002C7F3A">
        <w:rPr>
          <w:sz w:val="28"/>
          <w:szCs w:val="28"/>
        </w:rPr>
        <w:t>What this policy does</w:t>
      </w:r>
    </w:p>
    <w:p w14:paraId="3966F5FD" w14:textId="113DFBB5" w:rsidR="00D10C45" w:rsidRPr="005F6A36" w:rsidRDefault="007700A3" w:rsidP="00330A19">
      <w:pPr>
        <w:pStyle w:val="Body"/>
        <w:spacing w:after="240" w:line="233" w:lineRule="auto"/>
        <w:ind w:left="425"/>
        <w:rPr>
          <w:rFonts w:ascii="Arial" w:hAnsi="Arial"/>
          <w:sz w:val="24"/>
          <w:szCs w:val="24"/>
        </w:rPr>
      </w:pPr>
      <w:r w:rsidRPr="005F6A36">
        <w:rPr>
          <w:rFonts w:ascii="Arial" w:hAnsi="Arial"/>
          <w:sz w:val="24"/>
          <w:szCs w:val="24"/>
        </w:rPr>
        <w:t>This Procurement Policy sets the strategic direction for how Council uses its purchasing power to deliver value for money and advance Yarra’s long</w:t>
      </w:r>
      <w:r w:rsidRPr="005F6A36">
        <w:rPr>
          <w:rFonts w:ascii="Cambria Math" w:hAnsi="Cambria Math" w:cs="Cambria Math"/>
          <w:sz w:val="24"/>
          <w:szCs w:val="24"/>
        </w:rPr>
        <w:t>‑</w:t>
      </w:r>
      <w:r w:rsidRPr="005F6A36">
        <w:rPr>
          <w:rFonts w:ascii="Arial" w:hAnsi="Arial"/>
          <w:sz w:val="24"/>
          <w:szCs w:val="24"/>
        </w:rPr>
        <w:t>term social, environmental, economic and governance objectives. It establishes the principles and decision</w:t>
      </w:r>
      <w:r w:rsidRPr="005F6A36">
        <w:rPr>
          <w:rFonts w:ascii="Cambria Math" w:hAnsi="Cambria Math" w:cs="Cambria Math"/>
          <w:sz w:val="24"/>
          <w:szCs w:val="24"/>
        </w:rPr>
        <w:t>‑</w:t>
      </w:r>
      <w:r w:rsidRPr="005F6A36">
        <w:rPr>
          <w:rFonts w:ascii="Arial" w:hAnsi="Arial"/>
          <w:sz w:val="24"/>
          <w:szCs w:val="24"/>
        </w:rPr>
        <w:t>making framework that apply to all procurement activity, ensuring that purchasing decisions are transparent, ethical, financially responsible and aligned with Council priorities.</w:t>
      </w:r>
    </w:p>
    <w:p w14:paraId="21AC5CAB" w14:textId="4F29EA31" w:rsidR="00B126E7" w:rsidRPr="005F6A36" w:rsidRDefault="007700A3" w:rsidP="00330A19">
      <w:pPr>
        <w:pStyle w:val="Body"/>
        <w:spacing w:after="240" w:line="233" w:lineRule="auto"/>
        <w:ind w:left="425"/>
        <w:rPr>
          <w:rFonts w:ascii="Arial" w:hAnsi="Arial"/>
          <w:sz w:val="24"/>
          <w:szCs w:val="24"/>
        </w:rPr>
      </w:pPr>
      <w:r w:rsidRPr="005F6A36">
        <w:rPr>
          <w:rFonts w:ascii="Arial" w:hAnsi="Arial"/>
          <w:sz w:val="24"/>
          <w:szCs w:val="24"/>
        </w:rPr>
        <w:t xml:space="preserve">The policy articulates how Council balances sometimes competing considerations — such as cost, risk, sustainability, local benefit and service quality — in a way that is proportionate, </w:t>
      </w:r>
      <w:r w:rsidR="00B126E7" w:rsidRPr="005F6A36">
        <w:rPr>
          <w:rFonts w:ascii="Arial" w:hAnsi="Arial"/>
          <w:sz w:val="24"/>
          <w:szCs w:val="24"/>
        </w:rPr>
        <w:t>responsibl</w:t>
      </w:r>
      <w:r w:rsidRPr="005F6A36">
        <w:rPr>
          <w:rFonts w:ascii="Arial" w:hAnsi="Arial"/>
          <w:sz w:val="24"/>
          <w:szCs w:val="24"/>
        </w:rPr>
        <w:t>e and focused on the best overall outcome for the community.</w:t>
      </w:r>
    </w:p>
    <w:p w14:paraId="1BAC4F1A" w14:textId="77777777" w:rsidR="007822A5" w:rsidRPr="002C7F3A" w:rsidRDefault="007822A5">
      <w:pPr>
        <w:pStyle w:val="Heading2"/>
        <w:rPr>
          <w:kern w:val="2"/>
          <w:sz w:val="28"/>
          <w:szCs w:val="28"/>
          <w14:ligatures w14:val="standardContextual"/>
        </w:rPr>
      </w:pPr>
      <w:r w:rsidRPr="002C7F3A">
        <w:rPr>
          <w:sz w:val="28"/>
          <w:szCs w:val="28"/>
        </w:rPr>
        <w:t>How procurement supports Council’s financial sustainability</w:t>
      </w:r>
    </w:p>
    <w:p w14:paraId="7A42B35F" w14:textId="7A964F7D" w:rsidR="00B126E7" w:rsidRPr="005F6A36" w:rsidRDefault="007700A3" w:rsidP="00330A19">
      <w:pPr>
        <w:pStyle w:val="Body"/>
        <w:spacing w:after="240" w:line="233" w:lineRule="auto"/>
        <w:ind w:left="425"/>
        <w:rPr>
          <w:rFonts w:asciiTheme="minorHAnsi" w:hAnsiTheme="minorHAnsi" w:cstheme="minorHAnsi"/>
          <w:sz w:val="24"/>
          <w:szCs w:val="24"/>
        </w:rPr>
      </w:pPr>
      <w:r w:rsidRPr="005F6A36">
        <w:rPr>
          <w:rFonts w:asciiTheme="minorHAnsi" w:hAnsiTheme="minorHAnsi" w:cstheme="minorHAnsi"/>
          <w:sz w:val="24"/>
          <w:szCs w:val="24"/>
        </w:rPr>
        <w:t>This Policy directly supports Council’s Financial Sustainability Strategy, which recognises procurement as a key mechanism for maintaining Council’s long</w:t>
      </w:r>
      <w:r w:rsidRPr="005F6A36">
        <w:rPr>
          <w:rFonts w:ascii="Cambria Math" w:hAnsi="Cambria Math" w:cs="Cambria Math"/>
          <w:sz w:val="24"/>
          <w:szCs w:val="24"/>
        </w:rPr>
        <w:t>‑</w:t>
      </w:r>
      <w:r w:rsidRPr="005F6A36">
        <w:rPr>
          <w:rFonts w:asciiTheme="minorHAnsi" w:hAnsiTheme="minorHAnsi" w:cstheme="minorHAnsi"/>
          <w:sz w:val="24"/>
          <w:szCs w:val="24"/>
        </w:rPr>
        <w:t>term financial health. Every procurement decision has whole</w:t>
      </w:r>
      <w:r w:rsidRPr="005F6A36">
        <w:rPr>
          <w:rFonts w:ascii="Cambria Math" w:hAnsi="Cambria Math" w:cs="Cambria Math"/>
          <w:sz w:val="24"/>
          <w:szCs w:val="24"/>
        </w:rPr>
        <w:t>‑</w:t>
      </w:r>
      <w:r w:rsidRPr="005F6A36">
        <w:rPr>
          <w:rFonts w:asciiTheme="minorHAnsi" w:hAnsiTheme="minorHAnsi" w:cstheme="minorHAnsi"/>
          <w:sz w:val="24"/>
          <w:szCs w:val="24"/>
        </w:rPr>
        <w:t>of</w:t>
      </w:r>
      <w:r w:rsidRPr="005F6A36">
        <w:rPr>
          <w:rFonts w:ascii="Cambria Math" w:hAnsi="Cambria Math" w:cs="Cambria Math"/>
          <w:sz w:val="24"/>
          <w:szCs w:val="24"/>
        </w:rPr>
        <w:t>‑</w:t>
      </w:r>
      <w:r w:rsidRPr="005F6A36">
        <w:rPr>
          <w:rFonts w:asciiTheme="minorHAnsi" w:hAnsiTheme="minorHAnsi" w:cstheme="minorHAnsi"/>
          <w:sz w:val="24"/>
          <w:szCs w:val="24"/>
        </w:rPr>
        <w:t>life financial implications, including contract risk, operational costs, asset performance, and exposure to uncontrolled variations.</w:t>
      </w:r>
    </w:p>
    <w:p w14:paraId="64FA8C5F" w14:textId="77777777" w:rsidR="007700A3" w:rsidRPr="005F6A36" w:rsidRDefault="007700A3" w:rsidP="00330A19">
      <w:pPr>
        <w:pStyle w:val="Body"/>
        <w:spacing w:after="240" w:line="233" w:lineRule="auto"/>
        <w:ind w:left="425"/>
        <w:rPr>
          <w:rFonts w:asciiTheme="minorHAnsi" w:hAnsiTheme="minorHAnsi" w:cstheme="minorHAnsi"/>
          <w:sz w:val="24"/>
          <w:szCs w:val="24"/>
        </w:rPr>
      </w:pPr>
      <w:r w:rsidRPr="005F6A36">
        <w:rPr>
          <w:rFonts w:asciiTheme="minorHAnsi" w:hAnsiTheme="minorHAnsi" w:cstheme="minorHAnsi"/>
          <w:sz w:val="24"/>
          <w:szCs w:val="24"/>
          <w:lang w:val="en-AU" w:eastAsia="en-AU"/>
        </w:rPr>
        <w:t>By requiring appropriate planning, market testing, contract management and governance, this Policy helps ensure that Council:</w:t>
      </w:r>
    </w:p>
    <w:p w14:paraId="30126F51" w14:textId="77777777" w:rsidR="007700A3" w:rsidRPr="005F6A36" w:rsidRDefault="007700A3" w:rsidP="00330A19">
      <w:pPr>
        <w:pStyle w:val="ListParagraph"/>
        <w:numPr>
          <w:ilvl w:val="0"/>
          <w:numId w:val="117"/>
        </w:numPr>
        <w:jc w:val="both"/>
        <w:rPr>
          <w:rFonts w:asciiTheme="minorHAnsi" w:hAnsiTheme="minorHAnsi" w:cstheme="minorHAnsi"/>
          <w:sz w:val="24"/>
          <w:szCs w:val="24"/>
        </w:rPr>
      </w:pPr>
      <w:r w:rsidRPr="005F6A36">
        <w:rPr>
          <w:rFonts w:asciiTheme="minorHAnsi" w:hAnsiTheme="minorHAnsi" w:cstheme="minorHAnsi"/>
          <w:sz w:val="24"/>
          <w:szCs w:val="24"/>
        </w:rPr>
        <w:t>uses public funds efficiently and responsibly;</w:t>
      </w:r>
    </w:p>
    <w:p w14:paraId="4E453BE2" w14:textId="457354DB" w:rsidR="007700A3" w:rsidRPr="005F6A36" w:rsidRDefault="007700A3" w:rsidP="00330A19">
      <w:pPr>
        <w:pStyle w:val="ListParagraph"/>
        <w:numPr>
          <w:ilvl w:val="0"/>
          <w:numId w:val="117"/>
        </w:numPr>
        <w:jc w:val="both"/>
        <w:rPr>
          <w:rFonts w:asciiTheme="minorHAnsi" w:hAnsiTheme="minorHAnsi" w:cstheme="minorHAnsi"/>
          <w:sz w:val="24"/>
          <w:szCs w:val="24"/>
        </w:rPr>
      </w:pPr>
      <w:r w:rsidRPr="005F6A36">
        <w:rPr>
          <w:rFonts w:asciiTheme="minorHAnsi" w:hAnsiTheme="minorHAnsi" w:cstheme="minorHAnsi"/>
          <w:sz w:val="24"/>
          <w:szCs w:val="24"/>
        </w:rPr>
        <w:t>avoids decisions that create future financial risk;</w:t>
      </w:r>
    </w:p>
    <w:p w14:paraId="5117358D" w14:textId="77777777" w:rsidR="007700A3" w:rsidRPr="005F6A36" w:rsidRDefault="007700A3" w:rsidP="00330A19">
      <w:pPr>
        <w:pStyle w:val="ListParagraph"/>
        <w:numPr>
          <w:ilvl w:val="0"/>
          <w:numId w:val="117"/>
        </w:numPr>
        <w:jc w:val="both"/>
        <w:rPr>
          <w:rFonts w:asciiTheme="minorHAnsi" w:hAnsiTheme="minorHAnsi" w:cstheme="minorHAnsi"/>
          <w:sz w:val="24"/>
          <w:szCs w:val="24"/>
        </w:rPr>
      </w:pPr>
      <w:r w:rsidRPr="005F6A36">
        <w:rPr>
          <w:rFonts w:asciiTheme="minorHAnsi" w:hAnsiTheme="minorHAnsi" w:cstheme="minorHAnsi"/>
          <w:sz w:val="24"/>
          <w:szCs w:val="24"/>
        </w:rPr>
        <w:t>protects the value of Council’s asset base; and</w:t>
      </w:r>
    </w:p>
    <w:p w14:paraId="026E4402" w14:textId="77777777" w:rsidR="007700A3" w:rsidRPr="005F6A36" w:rsidRDefault="007700A3" w:rsidP="00330A19">
      <w:pPr>
        <w:pStyle w:val="ListParagraph"/>
        <w:numPr>
          <w:ilvl w:val="0"/>
          <w:numId w:val="117"/>
        </w:numPr>
        <w:jc w:val="both"/>
        <w:rPr>
          <w:rFonts w:asciiTheme="minorHAnsi" w:hAnsiTheme="minorHAnsi" w:cstheme="minorHAnsi"/>
          <w:sz w:val="24"/>
          <w:szCs w:val="24"/>
        </w:rPr>
      </w:pPr>
      <w:r w:rsidRPr="005F6A36">
        <w:rPr>
          <w:rFonts w:asciiTheme="minorHAnsi" w:hAnsiTheme="minorHAnsi" w:cstheme="minorHAnsi"/>
          <w:sz w:val="24"/>
          <w:szCs w:val="24"/>
        </w:rPr>
        <w:t>delivers services that remain affordable and sustainable over time.</w:t>
      </w:r>
    </w:p>
    <w:p w14:paraId="668E0946" w14:textId="77777777" w:rsidR="007822A5" w:rsidRPr="002C7F3A" w:rsidRDefault="007822A5">
      <w:pPr>
        <w:pStyle w:val="Heading2"/>
        <w:rPr>
          <w:kern w:val="2"/>
          <w:sz w:val="28"/>
          <w:szCs w:val="28"/>
          <w14:ligatures w14:val="standardContextual"/>
        </w:rPr>
      </w:pPr>
      <w:r w:rsidRPr="002C7F3A">
        <w:rPr>
          <w:sz w:val="28"/>
          <w:szCs w:val="28"/>
        </w:rPr>
        <w:t>How the policy is applied in practice</w:t>
      </w:r>
    </w:p>
    <w:p w14:paraId="1F2B9BEC" w14:textId="77777777" w:rsidR="004C6508" w:rsidRPr="005F6A36" w:rsidRDefault="004C6508" w:rsidP="00330A19">
      <w:pPr>
        <w:pStyle w:val="Body"/>
        <w:spacing w:after="240" w:line="233" w:lineRule="auto"/>
        <w:ind w:left="425"/>
        <w:rPr>
          <w:rFonts w:ascii="Arial" w:hAnsi="Arial"/>
          <w:sz w:val="24"/>
          <w:szCs w:val="24"/>
        </w:rPr>
      </w:pPr>
      <w:r w:rsidRPr="005F6A36">
        <w:rPr>
          <w:rFonts w:ascii="Arial" w:hAnsi="Arial"/>
          <w:sz w:val="24"/>
          <w:szCs w:val="24"/>
          <w:lang w:val="en-AU" w:eastAsia="en-AU"/>
        </w:rPr>
        <w:t>This Policy establishes the principles and decision</w:t>
      </w:r>
      <w:r w:rsidRPr="005F6A36">
        <w:rPr>
          <w:rFonts w:ascii="Cambria Math" w:hAnsi="Cambria Math" w:cs="Cambria Math"/>
          <w:sz w:val="24"/>
          <w:szCs w:val="24"/>
          <w:lang w:val="en-AU" w:eastAsia="en-AU"/>
        </w:rPr>
        <w:t>‑</w:t>
      </w:r>
      <w:r w:rsidRPr="005F6A36">
        <w:rPr>
          <w:rFonts w:ascii="Arial" w:hAnsi="Arial"/>
          <w:sz w:val="24"/>
          <w:szCs w:val="24"/>
          <w:lang w:val="en-AU" w:eastAsia="en-AU"/>
        </w:rPr>
        <w:t>making framework that govern procurement at Yarra City Council, including the outcomes Council seeks to achieve and the standards against which procurement decisions are made and assessed.</w:t>
      </w:r>
    </w:p>
    <w:p w14:paraId="670978EF" w14:textId="77777777" w:rsidR="004C6508" w:rsidRPr="005F6A36" w:rsidRDefault="004C6508" w:rsidP="00330A19">
      <w:pPr>
        <w:pStyle w:val="Body"/>
        <w:spacing w:after="240" w:line="233" w:lineRule="auto"/>
        <w:ind w:left="425"/>
        <w:rPr>
          <w:rFonts w:ascii="Arial" w:hAnsi="Arial"/>
          <w:sz w:val="24"/>
          <w:szCs w:val="24"/>
        </w:rPr>
      </w:pPr>
      <w:r w:rsidRPr="005F6A36">
        <w:rPr>
          <w:rFonts w:ascii="Arial" w:hAnsi="Arial"/>
          <w:sz w:val="24"/>
          <w:szCs w:val="24"/>
          <w:lang w:val="en-AU" w:eastAsia="en-AU"/>
        </w:rPr>
        <w:t>Detailed operational processes, thresholds and controls are set out in the Procurement Manual, which supports the consistent, lawful and transparent application of this Policy across the organisation.</w:t>
      </w:r>
    </w:p>
    <w:p w14:paraId="3CAADDA7" w14:textId="01180DBE" w:rsidR="008962F6" w:rsidRPr="005F6A36" w:rsidRDefault="004C6508" w:rsidP="00330A19">
      <w:pPr>
        <w:pStyle w:val="Body"/>
        <w:spacing w:after="240" w:line="233" w:lineRule="auto"/>
        <w:ind w:left="425"/>
        <w:rPr>
          <w:rFonts w:ascii="Arial" w:hAnsi="Arial"/>
          <w:sz w:val="24"/>
          <w:szCs w:val="24"/>
        </w:rPr>
      </w:pPr>
      <w:r w:rsidRPr="005F6A36">
        <w:rPr>
          <w:rFonts w:ascii="Arial" w:hAnsi="Arial"/>
          <w:sz w:val="24"/>
          <w:szCs w:val="24"/>
        </w:rPr>
        <w:t>Together, the Policy and Manual ensure that procurement decisions are deliberate, proportionate and aligned with Council’s strategic and financial sustainability objectives, and that they deliver long</w:t>
      </w:r>
      <w:r w:rsidRPr="005F6A36">
        <w:rPr>
          <w:rFonts w:ascii="Cambria Math" w:hAnsi="Cambria Math" w:cs="Cambria Math"/>
          <w:sz w:val="24"/>
          <w:szCs w:val="24"/>
        </w:rPr>
        <w:t>‑</w:t>
      </w:r>
      <w:r w:rsidRPr="005F6A36">
        <w:rPr>
          <w:rFonts w:ascii="Arial" w:hAnsi="Arial"/>
          <w:sz w:val="24"/>
          <w:szCs w:val="24"/>
        </w:rPr>
        <w:t>term value for the community rather than focusing solely on upfront cost.</w:t>
      </w:r>
    </w:p>
    <w:p w14:paraId="42730C10" w14:textId="71666DDB" w:rsidR="00694501" w:rsidRPr="002C7F3A" w:rsidRDefault="00694501" w:rsidP="00195790">
      <w:pPr>
        <w:pStyle w:val="proc1"/>
        <w:numPr>
          <w:ilvl w:val="1"/>
          <w:numId w:val="11"/>
        </w:numPr>
        <w:rPr>
          <w:sz w:val="28"/>
          <w:szCs w:val="28"/>
        </w:rPr>
      </w:pPr>
      <w:bookmarkStart w:id="2" w:name="_Toc227674530"/>
      <w:bookmarkStart w:id="3" w:name="_Toc227674657"/>
      <w:bookmarkStart w:id="4" w:name="_Toc227674794"/>
      <w:bookmarkStart w:id="5" w:name="_Toc227674929"/>
      <w:bookmarkStart w:id="6" w:name="_Toc227675066"/>
      <w:bookmarkStart w:id="7" w:name="_Toc227675203"/>
      <w:bookmarkStart w:id="8" w:name="_Toc227675340"/>
      <w:bookmarkStart w:id="9" w:name="_Toc227675477"/>
      <w:bookmarkStart w:id="10" w:name="_Toc227675614"/>
      <w:bookmarkStart w:id="11" w:name="_Toc227675752"/>
      <w:bookmarkStart w:id="12" w:name="_Toc227675886"/>
      <w:bookmarkStart w:id="13" w:name="_Toc227674531"/>
      <w:bookmarkStart w:id="14" w:name="_Toc227674658"/>
      <w:bookmarkStart w:id="15" w:name="_Toc227674795"/>
      <w:bookmarkStart w:id="16" w:name="_Toc227674930"/>
      <w:bookmarkStart w:id="17" w:name="_Toc227675067"/>
      <w:bookmarkStart w:id="18" w:name="_Toc227675204"/>
      <w:bookmarkStart w:id="19" w:name="_Toc227675341"/>
      <w:bookmarkStart w:id="20" w:name="_Toc227675478"/>
      <w:bookmarkStart w:id="21" w:name="_Toc227675615"/>
      <w:bookmarkStart w:id="22" w:name="_Toc227675753"/>
      <w:bookmarkStart w:id="23" w:name="_Toc227675887"/>
      <w:bookmarkStart w:id="24" w:name="_Toc24053644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sidRPr="002C7F3A">
        <w:rPr>
          <w:sz w:val="28"/>
          <w:szCs w:val="28"/>
        </w:rPr>
        <w:t xml:space="preserve">Strategic </w:t>
      </w:r>
      <w:r w:rsidR="00D10DF0" w:rsidRPr="002C7F3A">
        <w:rPr>
          <w:sz w:val="28"/>
          <w:szCs w:val="28"/>
        </w:rPr>
        <w:t>Context</w:t>
      </w:r>
      <w:bookmarkEnd w:id="24"/>
    </w:p>
    <w:p w14:paraId="542922CB" w14:textId="323296C3" w:rsidR="0025500D" w:rsidRPr="0038665F" w:rsidRDefault="007A3F51" w:rsidP="00A324D3">
      <w:pPr>
        <w:ind w:left="425"/>
        <w:jc w:val="both"/>
        <w:rPr>
          <w:sz w:val="24"/>
          <w:szCs w:val="24"/>
        </w:rPr>
      </w:pPr>
      <w:r w:rsidRPr="0038665F">
        <w:rPr>
          <w:sz w:val="24"/>
          <w:szCs w:val="24"/>
        </w:rPr>
        <w:t>Yarra's procurement program is guided by seven strategic objectives, each reflecting a Council priority and a community expectation</w:t>
      </w:r>
      <w:r w:rsidR="00694501" w:rsidRPr="0038665F">
        <w:rPr>
          <w:sz w:val="24"/>
          <w:szCs w:val="24"/>
        </w:rPr>
        <w:t>:</w:t>
      </w:r>
    </w:p>
    <w:p w14:paraId="142DAC0C" w14:textId="3277F8CA" w:rsidR="00E07E53" w:rsidRPr="002C7F3A" w:rsidRDefault="00694501" w:rsidP="00A324D3">
      <w:pPr>
        <w:pStyle w:val="proc2"/>
        <w:numPr>
          <w:ilvl w:val="2"/>
          <w:numId w:val="11"/>
        </w:numPr>
        <w:ind w:left="1134" w:hanging="567"/>
        <w:rPr>
          <w:rFonts w:cs="Arial"/>
          <w:b w:val="0"/>
          <w:bCs w:val="0"/>
          <w:sz w:val="28"/>
          <w:szCs w:val="28"/>
        </w:rPr>
      </w:pPr>
      <w:r w:rsidRPr="002C7F3A">
        <w:rPr>
          <w:rFonts w:cs="Arial"/>
          <w:b w:val="0"/>
          <w:bCs w:val="0"/>
          <w:sz w:val="28"/>
          <w:szCs w:val="28"/>
        </w:rPr>
        <w:t>Economic development and local community benefit</w:t>
      </w:r>
    </w:p>
    <w:p w14:paraId="2B5A4115" w14:textId="77777777" w:rsidR="001C72BF" w:rsidRPr="0038665F" w:rsidRDefault="001C72BF" w:rsidP="00A324D3">
      <w:pPr>
        <w:pStyle w:val="Body"/>
        <w:spacing w:after="240" w:line="233" w:lineRule="auto"/>
        <w:ind w:left="567"/>
        <w:rPr>
          <w:rFonts w:ascii="Arial" w:hAnsi="Arial"/>
          <w:sz w:val="24"/>
          <w:szCs w:val="24"/>
        </w:rPr>
      </w:pPr>
      <w:r w:rsidRPr="0038665F">
        <w:rPr>
          <w:rFonts w:ascii="Arial" w:hAnsi="Arial"/>
          <w:sz w:val="24"/>
          <w:szCs w:val="24"/>
          <w:lang w:val="en-AU" w:eastAsia="en-AU"/>
        </w:rPr>
        <w:t>Council’s procurement spend plays a significant role in shaping the local economy. When Council invests locally, the benefits extend beyond the initial purchase, with spending circulating through local businesses, employment, supply chains and services. This local “multiplier effect” means procurement decisions can strengthen economic resilience and community wellbeing as well as deliver the required goods, services and works.</w:t>
      </w:r>
    </w:p>
    <w:p w14:paraId="407F9068" w14:textId="77777777" w:rsidR="001C72BF" w:rsidRPr="0038665F" w:rsidRDefault="001C72BF" w:rsidP="00A324D3">
      <w:pPr>
        <w:pStyle w:val="Body"/>
        <w:spacing w:after="240" w:line="233" w:lineRule="auto"/>
        <w:ind w:left="567"/>
        <w:rPr>
          <w:rFonts w:ascii="Arial" w:hAnsi="Arial"/>
          <w:sz w:val="24"/>
          <w:szCs w:val="24"/>
        </w:rPr>
      </w:pPr>
      <w:r w:rsidRPr="0038665F">
        <w:rPr>
          <w:rFonts w:ascii="Arial" w:hAnsi="Arial"/>
          <w:sz w:val="24"/>
          <w:szCs w:val="24"/>
          <w:lang w:val="en-AU" w:eastAsia="en-AU"/>
        </w:rPr>
        <w:t>Council will seek opportunities, where this represents value for money and is consistent with legislative and probity requirements, to direct spend toward local and regional suppliers, encourage local employment and skills development, and support businesses that reinvest in the communities in which they operate.</w:t>
      </w:r>
    </w:p>
    <w:p w14:paraId="0ECBF880" w14:textId="78D3AE15" w:rsidR="001C72BF" w:rsidRPr="0038665F" w:rsidRDefault="001C72BF" w:rsidP="00A324D3">
      <w:pPr>
        <w:pStyle w:val="Body"/>
        <w:spacing w:after="240" w:line="233" w:lineRule="auto"/>
        <w:ind w:left="567"/>
        <w:rPr>
          <w:rFonts w:ascii="Arial" w:hAnsi="Arial"/>
          <w:sz w:val="24"/>
          <w:szCs w:val="24"/>
        </w:rPr>
      </w:pPr>
      <w:r w:rsidRPr="0038665F">
        <w:rPr>
          <w:rFonts w:ascii="Arial" w:hAnsi="Arial"/>
          <w:sz w:val="24"/>
          <w:szCs w:val="24"/>
          <w:lang w:val="en-AU" w:eastAsia="en-AU"/>
        </w:rPr>
        <w:t>Local economic benefit is considered as part of Council’s broader value</w:t>
      </w:r>
      <w:r w:rsidRPr="0038665F">
        <w:rPr>
          <w:rFonts w:ascii="Cambria Math" w:hAnsi="Cambria Math" w:cs="Cambria Math"/>
          <w:sz w:val="24"/>
          <w:szCs w:val="24"/>
          <w:lang w:val="en-AU" w:eastAsia="en-AU"/>
        </w:rPr>
        <w:t>‑</w:t>
      </w:r>
      <w:r w:rsidRPr="0038665F">
        <w:rPr>
          <w:rFonts w:ascii="Arial" w:hAnsi="Arial"/>
          <w:sz w:val="24"/>
          <w:szCs w:val="24"/>
          <w:lang w:val="en-AU" w:eastAsia="en-AU"/>
        </w:rPr>
        <w:t>for</w:t>
      </w:r>
      <w:r w:rsidRPr="0038665F">
        <w:rPr>
          <w:rFonts w:ascii="Cambria Math" w:hAnsi="Cambria Math" w:cs="Cambria Math"/>
          <w:sz w:val="24"/>
          <w:szCs w:val="24"/>
          <w:lang w:val="en-AU" w:eastAsia="en-AU"/>
        </w:rPr>
        <w:t>‑</w:t>
      </w:r>
      <w:r w:rsidRPr="0038665F">
        <w:rPr>
          <w:rFonts w:ascii="Arial" w:hAnsi="Arial"/>
          <w:sz w:val="24"/>
          <w:szCs w:val="24"/>
          <w:lang w:val="en-AU" w:eastAsia="en-AU"/>
        </w:rPr>
        <w:t>money assessment, alongside price, quality, risk and sustainability. By strengthening local economic capacity, Council supports long</w:t>
      </w:r>
      <w:r w:rsidRPr="0038665F">
        <w:rPr>
          <w:rFonts w:ascii="Cambria Math" w:hAnsi="Cambria Math" w:cs="Cambria Math"/>
          <w:sz w:val="24"/>
          <w:szCs w:val="24"/>
          <w:lang w:val="en-AU" w:eastAsia="en-AU"/>
        </w:rPr>
        <w:t>‑</w:t>
      </w:r>
      <w:r w:rsidRPr="0038665F">
        <w:rPr>
          <w:rFonts w:ascii="Arial" w:hAnsi="Arial"/>
          <w:sz w:val="24"/>
          <w:szCs w:val="24"/>
          <w:lang w:val="en-AU" w:eastAsia="en-AU"/>
        </w:rPr>
        <w:t>term financial sustainability and helps ensure services remain affordable and resilient over time.</w:t>
      </w:r>
    </w:p>
    <w:p w14:paraId="46C94BE4" w14:textId="0A1999D3" w:rsidR="00E07E53" w:rsidRPr="002C7F3A" w:rsidRDefault="00694501" w:rsidP="00A324D3">
      <w:pPr>
        <w:pStyle w:val="proc2"/>
        <w:numPr>
          <w:ilvl w:val="2"/>
          <w:numId w:val="11"/>
        </w:numPr>
        <w:ind w:left="1134" w:hanging="567"/>
        <w:rPr>
          <w:rFonts w:cs="Arial"/>
          <w:b w:val="0"/>
          <w:bCs w:val="0"/>
          <w:sz w:val="28"/>
          <w:szCs w:val="28"/>
        </w:rPr>
      </w:pPr>
      <w:r w:rsidRPr="002C7F3A">
        <w:rPr>
          <w:rFonts w:cs="Arial"/>
          <w:b w:val="0"/>
          <w:bCs w:val="0"/>
          <w:sz w:val="28"/>
          <w:szCs w:val="28"/>
        </w:rPr>
        <w:t>Social and community outcomes</w:t>
      </w:r>
    </w:p>
    <w:p w14:paraId="181A789A" w14:textId="73A1D535" w:rsidR="00694501" w:rsidRPr="0038665F" w:rsidRDefault="00694501" w:rsidP="00A324D3">
      <w:pPr>
        <w:pStyle w:val="Body"/>
        <w:spacing w:after="240" w:line="233" w:lineRule="auto"/>
        <w:ind w:left="567"/>
        <w:rPr>
          <w:rFonts w:ascii="Arial" w:hAnsi="Arial"/>
          <w:sz w:val="24"/>
          <w:szCs w:val="24"/>
        </w:rPr>
      </w:pPr>
      <w:r w:rsidRPr="0038665F">
        <w:rPr>
          <w:rFonts w:ascii="Arial" w:hAnsi="Arial"/>
          <w:sz w:val="24"/>
          <w:szCs w:val="24"/>
          <w:lang w:val="en-AU" w:eastAsia="en-AU"/>
        </w:rPr>
        <w:t xml:space="preserve">Yarra draws strength from a diverse </w:t>
      </w:r>
      <w:r w:rsidR="00CF7FFC" w:rsidRPr="0038665F">
        <w:rPr>
          <w:rFonts w:ascii="Arial" w:hAnsi="Arial"/>
          <w:sz w:val="24"/>
          <w:szCs w:val="24"/>
          <w:lang w:val="en-AU" w:eastAsia="en-AU"/>
        </w:rPr>
        <w:t>community with varying economic circumstances</w:t>
      </w:r>
      <w:r w:rsidRPr="0038665F">
        <w:rPr>
          <w:rFonts w:ascii="Arial" w:hAnsi="Arial"/>
          <w:sz w:val="24"/>
          <w:szCs w:val="24"/>
          <w:lang w:val="en-AU" w:eastAsia="en-AU"/>
        </w:rPr>
        <w:t xml:space="preserve">. </w:t>
      </w:r>
      <w:r w:rsidR="00CF7FFC" w:rsidRPr="0038665F">
        <w:rPr>
          <w:rFonts w:ascii="Arial" w:hAnsi="Arial"/>
          <w:sz w:val="24"/>
          <w:szCs w:val="24"/>
          <w:lang w:val="en-AU" w:eastAsia="en-AU"/>
        </w:rPr>
        <w:t xml:space="preserve">Council’s </w:t>
      </w:r>
      <w:r w:rsidRPr="0038665F">
        <w:rPr>
          <w:rFonts w:ascii="Arial" w:hAnsi="Arial"/>
          <w:sz w:val="24"/>
          <w:szCs w:val="24"/>
          <w:lang w:val="en-AU" w:eastAsia="en-AU"/>
        </w:rPr>
        <w:t>Procurement</w:t>
      </w:r>
      <w:r w:rsidR="00CF7FFC" w:rsidRPr="0038665F">
        <w:rPr>
          <w:rFonts w:ascii="Arial" w:hAnsi="Arial"/>
          <w:sz w:val="24"/>
          <w:szCs w:val="24"/>
          <w:lang w:val="en-AU" w:eastAsia="en-AU"/>
        </w:rPr>
        <w:t xml:space="preserve"> decisions</w:t>
      </w:r>
      <w:r w:rsidRPr="0038665F">
        <w:rPr>
          <w:rFonts w:ascii="Arial" w:hAnsi="Arial"/>
          <w:sz w:val="24"/>
          <w:szCs w:val="24"/>
          <w:lang w:val="en-AU" w:eastAsia="en-AU"/>
        </w:rPr>
        <w:t xml:space="preserve"> </w:t>
      </w:r>
      <w:r w:rsidR="00CF7FFC" w:rsidRPr="0038665F">
        <w:rPr>
          <w:rFonts w:ascii="Arial" w:hAnsi="Arial"/>
          <w:sz w:val="24"/>
          <w:szCs w:val="24"/>
          <w:lang w:val="en-AU" w:eastAsia="en-AU"/>
        </w:rPr>
        <w:t>can</w:t>
      </w:r>
      <w:r w:rsidRPr="0038665F">
        <w:rPr>
          <w:rFonts w:ascii="Arial" w:hAnsi="Arial"/>
          <w:sz w:val="24"/>
          <w:szCs w:val="24"/>
          <w:lang w:val="en-AU" w:eastAsia="en-AU"/>
        </w:rPr>
        <w:t xml:space="preserve"> </w:t>
      </w:r>
      <w:r w:rsidR="00CF7FFC" w:rsidRPr="0038665F">
        <w:rPr>
          <w:rFonts w:ascii="Arial" w:hAnsi="Arial"/>
          <w:sz w:val="24"/>
          <w:szCs w:val="24"/>
          <w:lang w:val="en-AU" w:eastAsia="en-AU"/>
        </w:rPr>
        <w:t xml:space="preserve">play a role in helping to </w:t>
      </w:r>
      <w:r w:rsidRPr="0038665F">
        <w:rPr>
          <w:rFonts w:ascii="Arial" w:hAnsi="Arial"/>
          <w:sz w:val="24"/>
          <w:szCs w:val="24"/>
          <w:lang w:val="en-AU" w:eastAsia="en-AU"/>
        </w:rPr>
        <w:t xml:space="preserve">reduce barriers faced by people experiencing disadvantage and support social enterprises, First Peoples businesses, businesses employing people with disability, and organisations that actively contribute to community wellbeing. Social benefit will </w:t>
      </w:r>
      <w:r w:rsidR="00805CFB" w:rsidRPr="0038665F">
        <w:rPr>
          <w:rFonts w:ascii="Arial" w:hAnsi="Arial"/>
          <w:sz w:val="24"/>
          <w:szCs w:val="24"/>
          <w:lang w:val="en-AU" w:eastAsia="en-AU"/>
        </w:rPr>
        <w:t>be embedded</w:t>
      </w:r>
      <w:r w:rsidRPr="0038665F">
        <w:rPr>
          <w:rFonts w:ascii="Arial" w:hAnsi="Arial"/>
          <w:sz w:val="24"/>
          <w:szCs w:val="24"/>
          <w:lang w:val="en-AU" w:eastAsia="en-AU"/>
        </w:rPr>
        <w:t xml:space="preserve"> in all formal procurement processes.</w:t>
      </w:r>
    </w:p>
    <w:p w14:paraId="0755B080" w14:textId="01A5D074" w:rsidR="00E07E53" w:rsidRPr="002C7F3A" w:rsidRDefault="00694501" w:rsidP="00A324D3">
      <w:pPr>
        <w:pStyle w:val="proc2"/>
        <w:numPr>
          <w:ilvl w:val="2"/>
          <w:numId w:val="11"/>
        </w:numPr>
        <w:ind w:left="1134" w:hanging="567"/>
        <w:rPr>
          <w:rFonts w:cs="Arial"/>
          <w:b w:val="0"/>
          <w:bCs w:val="0"/>
          <w:sz w:val="28"/>
          <w:szCs w:val="28"/>
        </w:rPr>
      </w:pPr>
      <w:r w:rsidRPr="002C7F3A">
        <w:rPr>
          <w:rFonts w:cs="Arial"/>
          <w:b w:val="0"/>
          <w:bCs w:val="0"/>
          <w:sz w:val="28"/>
          <w:szCs w:val="28"/>
        </w:rPr>
        <w:t>Environmental sustainability and climate emergency response</w:t>
      </w:r>
    </w:p>
    <w:p w14:paraId="3689CDC8" w14:textId="26D1A5F8" w:rsidR="00694501" w:rsidRPr="0038665F" w:rsidRDefault="00694501" w:rsidP="00A324D3">
      <w:pPr>
        <w:pStyle w:val="Body"/>
        <w:spacing w:after="240" w:line="233" w:lineRule="auto"/>
        <w:ind w:left="567"/>
        <w:rPr>
          <w:rFonts w:ascii="Arial" w:hAnsi="Arial"/>
          <w:sz w:val="24"/>
          <w:szCs w:val="24"/>
        </w:rPr>
      </w:pPr>
      <w:r w:rsidRPr="0038665F">
        <w:rPr>
          <w:rFonts w:ascii="Arial" w:hAnsi="Arial"/>
          <w:sz w:val="24"/>
          <w:szCs w:val="24"/>
          <w:lang w:val="en-AU" w:eastAsia="en-AU"/>
        </w:rPr>
        <w:t xml:space="preserve">Council has declared a climate emergency and this commitment must be reflected in every procurement decision. Council will give preference to environmentally </w:t>
      </w:r>
      <w:r w:rsidR="00C5043A" w:rsidRPr="0038665F">
        <w:rPr>
          <w:rFonts w:ascii="Arial" w:hAnsi="Arial"/>
          <w:sz w:val="24"/>
          <w:szCs w:val="24"/>
          <w:lang w:val="en-AU" w:eastAsia="en-AU"/>
        </w:rPr>
        <w:t>sustainable</w:t>
      </w:r>
      <w:r w:rsidRPr="0038665F">
        <w:rPr>
          <w:rFonts w:ascii="Arial" w:hAnsi="Arial"/>
          <w:sz w:val="24"/>
          <w:szCs w:val="24"/>
          <w:lang w:val="en-AU" w:eastAsia="en-AU"/>
        </w:rPr>
        <w:t xml:space="preserve"> goods, services and providers — those that support the circular economy, reduce emissions, minimise waste and demonstrate genuine environmental leadership. Environmental sustainability will be weighted at a minimum of 10% in all formal tender evaluations.</w:t>
      </w:r>
    </w:p>
    <w:p w14:paraId="5D9BF2A4" w14:textId="4396D922" w:rsidR="00E07E53" w:rsidRPr="002C7F3A" w:rsidRDefault="00694501" w:rsidP="00A324D3">
      <w:pPr>
        <w:pStyle w:val="proc2"/>
        <w:numPr>
          <w:ilvl w:val="2"/>
          <w:numId w:val="11"/>
        </w:numPr>
        <w:ind w:left="1134" w:hanging="567"/>
        <w:rPr>
          <w:rFonts w:cs="Arial"/>
          <w:b w:val="0"/>
          <w:bCs w:val="0"/>
          <w:sz w:val="28"/>
          <w:szCs w:val="28"/>
        </w:rPr>
      </w:pPr>
      <w:r w:rsidRPr="002C7F3A">
        <w:rPr>
          <w:rFonts w:cs="Arial"/>
          <w:b w:val="0"/>
          <w:bCs w:val="0"/>
          <w:sz w:val="28"/>
          <w:szCs w:val="28"/>
        </w:rPr>
        <w:t>Integrity, probity and risk management</w:t>
      </w:r>
    </w:p>
    <w:p w14:paraId="6FADD262" w14:textId="0C882263" w:rsidR="00694501" w:rsidRPr="0038665F" w:rsidRDefault="00694501" w:rsidP="00A324D3">
      <w:pPr>
        <w:pStyle w:val="Body"/>
        <w:spacing w:after="240" w:line="233" w:lineRule="auto"/>
        <w:ind w:left="567"/>
        <w:rPr>
          <w:rFonts w:ascii="Arial" w:hAnsi="Arial"/>
          <w:sz w:val="24"/>
          <w:szCs w:val="24"/>
        </w:rPr>
      </w:pPr>
      <w:r w:rsidRPr="0038665F">
        <w:rPr>
          <w:rFonts w:ascii="Arial" w:hAnsi="Arial"/>
          <w:sz w:val="24"/>
          <w:szCs w:val="24"/>
          <w:lang w:val="en-AU" w:eastAsia="en-AU"/>
        </w:rPr>
        <w:t>All procurement activity must be conducted with the highest standards of integrity, transparency and accountability. Officers must avoid, declare and manage conflicts of interest, ensure decisions can withstand public scrutiny, and follow approved procurement pathways. The Procurement Policy and processes are identified in Council’s Strategic Risk Register as a primary control against the risk of financial unsustainability, which places a direct accountability obligation on every officer involved in procurement.</w:t>
      </w:r>
    </w:p>
    <w:p w14:paraId="4BBCAAAA" w14:textId="28E84C6D" w:rsidR="00E07E53" w:rsidRPr="002C7F3A" w:rsidRDefault="00694501" w:rsidP="00A324D3">
      <w:pPr>
        <w:pStyle w:val="proc2"/>
        <w:numPr>
          <w:ilvl w:val="2"/>
          <w:numId w:val="11"/>
        </w:numPr>
        <w:ind w:left="1134" w:hanging="567"/>
        <w:rPr>
          <w:rFonts w:cs="Arial"/>
          <w:b w:val="0"/>
          <w:bCs w:val="0"/>
          <w:sz w:val="28"/>
          <w:szCs w:val="28"/>
        </w:rPr>
      </w:pPr>
      <w:r w:rsidRPr="002C7F3A">
        <w:rPr>
          <w:rFonts w:cs="Arial"/>
          <w:b w:val="0"/>
          <w:bCs w:val="0"/>
          <w:sz w:val="28"/>
          <w:szCs w:val="28"/>
        </w:rPr>
        <w:t>Financial sustainability</w:t>
      </w:r>
    </w:p>
    <w:p w14:paraId="5C3C6953" w14:textId="0889B86E" w:rsidR="001D36D7" w:rsidRPr="0038665F" w:rsidRDefault="00CA3E54" w:rsidP="00A324D3">
      <w:pPr>
        <w:pStyle w:val="Body"/>
        <w:spacing w:after="240" w:line="233" w:lineRule="auto"/>
        <w:ind w:left="567"/>
        <w:rPr>
          <w:rFonts w:ascii="Arial" w:hAnsi="Arial"/>
          <w:sz w:val="24"/>
          <w:szCs w:val="24"/>
        </w:rPr>
      </w:pPr>
      <w:r w:rsidRPr="0038665F">
        <w:rPr>
          <w:rFonts w:ascii="Arial" w:hAnsi="Arial"/>
          <w:sz w:val="24"/>
          <w:szCs w:val="24"/>
        </w:rPr>
        <w:t>Procurement decisions must actively support the objectives of Council’s Financial Sustainability Strategy. This includes prioritising value for money, proactively managing contract risk and variations, and seeking to contain costs over the life of contracts wherever possible. All significant procurement activity must be underpinned by appropriate planning and a business case proportionate to the value, risk and complexity of the procurement.</w:t>
      </w:r>
    </w:p>
    <w:p w14:paraId="4244755E" w14:textId="6BF35E20" w:rsidR="001D36D7" w:rsidRPr="0038665F" w:rsidRDefault="00CA3E54" w:rsidP="00A324D3">
      <w:pPr>
        <w:pStyle w:val="Body"/>
        <w:spacing w:after="240" w:line="233" w:lineRule="auto"/>
        <w:ind w:left="567"/>
        <w:rPr>
          <w:rFonts w:ascii="Arial" w:hAnsi="Arial"/>
          <w:sz w:val="24"/>
          <w:szCs w:val="24"/>
        </w:rPr>
      </w:pPr>
      <w:r w:rsidRPr="0038665F">
        <w:rPr>
          <w:rFonts w:ascii="Arial" w:hAnsi="Arial"/>
          <w:sz w:val="24"/>
          <w:szCs w:val="24"/>
        </w:rPr>
        <w:t>Council has stewardship responsibility for more than $2 billion in community assets and invests approximately $35–$40 million each year in capital works. Procurement decisions play a critical role in protecting this asset base, managing long</w:t>
      </w:r>
      <w:r w:rsidRPr="0038665F">
        <w:rPr>
          <w:rFonts w:ascii="Cambria Math" w:hAnsi="Cambria Math" w:cs="Cambria Math"/>
          <w:sz w:val="24"/>
          <w:szCs w:val="24"/>
        </w:rPr>
        <w:t>‑</w:t>
      </w:r>
      <w:r w:rsidRPr="0038665F">
        <w:rPr>
          <w:rFonts w:ascii="Arial" w:hAnsi="Arial"/>
          <w:sz w:val="24"/>
          <w:szCs w:val="24"/>
        </w:rPr>
        <w:t>term financial exposure, and ensuring that infrastructure and services are delivered in a way that is affordable and sustainable over time.</w:t>
      </w:r>
    </w:p>
    <w:p w14:paraId="6CCEBC14" w14:textId="14E18DBA" w:rsidR="00CA3E54" w:rsidRPr="0038665F" w:rsidRDefault="00CA3E54" w:rsidP="00A324D3">
      <w:pPr>
        <w:pStyle w:val="Body"/>
        <w:spacing w:after="240" w:line="233" w:lineRule="auto"/>
        <w:ind w:left="567"/>
        <w:rPr>
          <w:rFonts w:ascii="Arial" w:hAnsi="Arial"/>
          <w:sz w:val="24"/>
          <w:szCs w:val="24"/>
        </w:rPr>
      </w:pPr>
      <w:r w:rsidRPr="0038665F">
        <w:rPr>
          <w:rFonts w:ascii="Arial" w:hAnsi="Arial"/>
          <w:sz w:val="24"/>
          <w:szCs w:val="24"/>
          <w:lang w:val="en-AU" w:eastAsia="en-AU"/>
        </w:rPr>
        <w:t>Council will also actively work to maintain a diverse and competitive supply market to support financial and operational resilience. Over</w:t>
      </w:r>
      <w:r w:rsidRPr="0038665F">
        <w:rPr>
          <w:rFonts w:ascii="Cambria Math" w:hAnsi="Cambria Math" w:cs="Cambria Math"/>
          <w:sz w:val="24"/>
          <w:szCs w:val="24"/>
          <w:lang w:val="en-AU" w:eastAsia="en-AU"/>
        </w:rPr>
        <w:t>‑</w:t>
      </w:r>
      <w:r w:rsidRPr="0038665F">
        <w:rPr>
          <w:rFonts w:ascii="Arial" w:hAnsi="Arial"/>
          <w:sz w:val="24"/>
          <w:szCs w:val="24"/>
          <w:lang w:val="en-AU" w:eastAsia="en-AU"/>
        </w:rPr>
        <w:t>reliance on individual suppliers can create cost, performance and continuity risks. Council will support the participation of small and medium enterprises, social enterprises, First Peoples businesses and other diverse suppliers, and will structure procurement and contracting approaches in a manner that encourages competition and avoids unnecessarily excluding capable suppliers.</w:t>
      </w:r>
    </w:p>
    <w:p w14:paraId="425E4184" w14:textId="77777777" w:rsidR="00E07E53" w:rsidRPr="002C7F3A" w:rsidRDefault="00694501" w:rsidP="00A324D3">
      <w:pPr>
        <w:pStyle w:val="proc2"/>
        <w:numPr>
          <w:ilvl w:val="2"/>
          <w:numId w:val="11"/>
        </w:numPr>
        <w:ind w:left="1134" w:hanging="567"/>
        <w:rPr>
          <w:rFonts w:cs="Arial"/>
          <w:b w:val="0"/>
          <w:bCs w:val="0"/>
          <w:sz w:val="28"/>
          <w:szCs w:val="28"/>
        </w:rPr>
      </w:pPr>
      <w:r w:rsidRPr="002C7F3A">
        <w:rPr>
          <w:rFonts w:cs="Arial"/>
          <w:b w:val="0"/>
          <w:bCs w:val="0"/>
          <w:sz w:val="28"/>
          <w:szCs w:val="28"/>
        </w:rPr>
        <w:t xml:space="preserve">First Peoples economic participation. </w:t>
      </w:r>
    </w:p>
    <w:p w14:paraId="283D0FB8" w14:textId="77777777" w:rsidR="002D6D10" w:rsidRPr="0038665F" w:rsidRDefault="002D6D10" w:rsidP="00A324D3">
      <w:pPr>
        <w:pStyle w:val="Body"/>
        <w:spacing w:after="240" w:line="233" w:lineRule="auto"/>
        <w:ind w:left="567"/>
        <w:rPr>
          <w:rFonts w:ascii="Arial" w:hAnsi="Arial"/>
          <w:sz w:val="24"/>
          <w:szCs w:val="24"/>
        </w:rPr>
      </w:pPr>
      <w:r w:rsidRPr="0038665F">
        <w:rPr>
          <w:rFonts w:ascii="Arial" w:hAnsi="Arial"/>
          <w:sz w:val="24"/>
          <w:szCs w:val="24"/>
          <w:lang w:val="en-AU" w:eastAsia="en-AU"/>
        </w:rPr>
        <w:t>Council acknowledges the Wurundjeri Woi Wurrung people as the Traditional Owners of the land on which the City of Yarra is located and pays respect to their Elders past and present.</w:t>
      </w:r>
    </w:p>
    <w:p w14:paraId="1A5EA861" w14:textId="4990DBDD" w:rsidR="002D6D10" w:rsidRPr="0038665F" w:rsidRDefault="002D6D10" w:rsidP="00A324D3">
      <w:pPr>
        <w:pStyle w:val="Body"/>
        <w:spacing w:after="240" w:line="233" w:lineRule="auto"/>
        <w:ind w:left="567"/>
        <w:rPr>
          <w:rFonts w:ascii="Arial" w:hAnsi="Arial"/>
          <w:sz w:val="24"/>
          <w:szCs w:val="24"/>
        </w:rPr>
      </w:pPr>
      <w:r w:rsidRPr="0038665F">
        <w:rPr>
          <w:rFonts w:ascii="Arial" w:hAnsi="Arial"/>
          <w:sz w:val="24"/>
          <w:szCs w:val="24"/>
          <w:lang w:val="en-AU" w:eastAsia="en-AU"/>
        </w:rPr>
        <w:t>Council is committed to supporting economic participation opportunities for First Peoples through its procurement activities. This includes promoting fair access for First Peoples businesses to supply chains, considering direct contracting opportunities where appropriate, and encouraging employment and skills development outcomes through Council contracts, in a manner consistent with legislative requirements and value</w:t>
      </w:r>
      <w:r w:rsidRPr="0038665F">
        <w:rPr>
          <w:rFonts w:ascii="Cambria Math" w:hAnsi="Cambria Math" w:cs="Cambria Math"/>
          <w:sz w:val="24"/>
          <w:szCs w:val="24"/>
          <w:lang w:val="en-AU" w:eastAsia="en-AU"/>
        </w:rPr>
        <w:t>‑</w:t>
      </w:r>
      <w:r w:rsidRPr="0038665F">
        <w:rPr>
          <w:rFonts w:ascii="Arial" w:hAnsi="Arial"/>
          <w:sz w:val="24"/>
          <w:szCs w:val="24"/>
          <w:lang w:val="en-AU" w:eastAsia="en-AU"/>
        </w:rPr>
        <w:t>for</w:t>
      </w:r>
      <w:r w:rsidRPr="0038665F">
        <w:rPr>
          <w:rFonts w:ascii="Cambria Math" w:hAnsi="Cambria Math" w:cs="Cambria Math"/>
          <w:sz w:val="24"/>
          <w:szCs w:val="24"/>
          <w:lang w:val="en-AU" w:eastAsia="en-AU"/>
        </w:rPr>
        <w:t>‑</w:t>
      </w:r>
      <w:r w:rsidRPr="0038665F">
        <w:rPr>
          <w:rFonts w:ascii="Arial" w:hAnsi="Arial"/>
          <w:sz w:val="24"/>
          <w:szCs w:val="24"/>
          <w:lang w:val="en-AU" w:eastAsia="en-AU"/>
        </w:rPr>
        <w:t>money principles.</w:t>
      </w:r>
    </w:p>
    <w:p w14:paraId="766C93D8" w14:textId="766C93D8" w:rsidR="00694501" w:rsidRPr="002C7F3A" w:rsidRDefault="00694501" w:rsidP="00A324D3">
      <w:pPr>
        <w:pStyle w:val="proc2"/>
        <w:numPr>
          <w:ilvl w:val="2"/>
          <w:numId w:val="11"/>
        </w:numPr>
        <w:ind w:left="1134" w:hanging="567"/>
        <w:rPr>
          <w:rFonts w:cs="Arial"/>
          <w:b w:val="0"/>
          <w:bCs w:val="0"/>
          <w:sz w:val="28"/>
          <w:szCs w:val="28"/>
        </w:rPr>
      </w:pPr>
      <w:r w:rsidRPr="002C7F3A">
        <w:rPr>
          <w:rFonts w:cs="Arial"/>
          <w:b w:val="0"/>
          <w:bCs w:val="0"/>
          <w:sz w:val="28"/>
          <w:szCs w:val="28"/>
        </w:rPr>
        <w:t>Value for Money</w:t>
      </w:r>
    </w:p>
    <w:p w14:paraId="6CAE6CC3" w14:textId="268A5C7D" w:rsidR="008C1D2E" w:rsidRPr="0038665F" w:rsidRDefault="00694501" w:rsidP="00A324D3">
      <w:pPr>
        <w:pStyle w:val="Body"/>
        <w:spacing w:after="240" w:line="233" w:lineRule="auto"/>
        <w:ind w:left="567"/>
        <w:rPr>
          <w:rFonts w:ascii="Arial" w:hAnsi="Arial"/>
          <w:sz w:val="24"/>
          <w:szCs w:val="24"/>
        </w:rPr>
      </w:pPr>
      <w:r w:rsidRPr="0038665F">
        <w:rPr>
          <w:rFonts w:ascii="Arial" w:hAnsi="Arial"/>
          <w:sz w:val="24"/>
          <w:szCs w:val="24"/>
          <w:lang w:val="en-AU" w:eastAsia="en-AU"/>
        </w:rPr>
        <w:t>Value for money is the primary decision-making principle in all procurement. At Yarra, value for money is not simply the lowest price</w:t>
      </w:r>
      <w:r w:rsidR="00034108" w:rsidRPr="0038665F">
        <w:rPr>
          <w:rFonts w:ascii="Arial" w:hAnsi="Arial"/>
          <w:sz w:val="24"/>
          <w:szCs w:val="24"/>
          <w:lang w:val="en-AU" w:eastAsia="en-AU"/>
        </w:rPr>
        <w:t>;</w:t>
      </w:r>
      <w:r w:rsidRPr="0038665F">
        <w:rPr>
          <w:rFonts w:ascii="Arial" w:hAnsi="Arial"/>
          <w:sz w:val="24"/>
          <w:szCs w:val="24"/>
          <w:lang w:val="en-AU" w:eastAsia="en-AU"/>
        </w:rPr>
        <w:t xml:space="preserve"> it is the best overall outcome for the community having regard to the full range of relevant costs and benefits, including social, economic, environmental and cultural value across the life of the goods, services or works.</w:t>
      </w:r>
    </w:p>
    <w:p w14:paraId="4C080A97" w14:textId="4C080A97" w:rsidR="00694501" w:rsidRPr="002C7F3A" w:rsidRDefault="00694501" w:rsidP="00A324D3">
      <w:pPr>
        <w:pStyle w:val="proc2"/>
        <w:numPr>
          <w:ilvl w:val="2"/>
          <w:numId w:val="11"/>
        </w:numPr>
        <w:ind w:left="1134" w:hanging="567"/>
        <w:rPr>
          <w:rFonts w:cs="Arial"/>
          <w:b w:val="0"/>
          <w:bCs w:val="0"/>
          <w:sz w:val="28"/>
          <w:szCs w:val="28"/>
        </w:rPr>
      </w:pPr>
      <w:r w:rsidRPr="002C7F3A">
        <w:rPr>
          <w:rFonts w:cs="Arial"/>
          <w:b w:val="0"/>
          <w:bCs w:val="0"/>
          <w:sz w:val="28"/>
          <w:szCs w:val="28"/>
        </w:rPr>
        <w:t>Linkage to the Financial Sustainability Strategy</w:t>
      </w:r>
    </w:p>
    <w:p w14:paraId="687A2385" w14:textId="36AB63BE" w:rsidR="00694501" w:rsidRPr="0038665F" w:rsidRDefault="00694501" w:rsidP="00A324D3">
      <w:pPr>
        <w:pStyle w:val="Body"/>
        <w:spacing w:after="240" w:line="233" w:lineRule="auto"/>
        <w:ind w:left="567"/>
        <w:rPr>
          <w:rFonts w:ascii="Arial" w:hAnsi="Arial"/>
          <w:sz w:val="24"/>
          <w:szCs w:val="24"/>
        </w:rPr>
      </w:pPr>
      <w:r w:rsidRPr="0038665F">
        <w:rPr>
          <w:rFonts w:ascii="Arial" w:hAnsi="Arial"/>
          <w:sz w:val="24"/>
          <w:szCs w:val="24"/>
          <w:lang w:val="en-AU" w:eastAsia="en-AU"/>
        </w:rPr>
        <w:t>This Policy directly supports Council’s Financial Sustainability Strategy (FSS), which identifies improved and innovative procurement practices as a key lever for long-term financial sustainability (FSS Strategic Lever 6: Robust Financial Management). The FSS establishes that with a community projected to grow by nearly 50,000 people by 2041 and a $349 million capital works program over the next decade, the quality of procurement decisions made today will directly shape Council’s financial position for years to come.</w:t>
      </w:r>
    </w:p>
    <w:p w14:paraId="20C2A506" w14:textId="3D85BF1E" w:rsidR="001D36D7" w:rsidRPr="0038665F" w:rsidRDefault="00694501" w:rsidP="135C06B1">
      <w:pPr>
        <w:pStyle w:val="Body"/>
        <w:spacing w:after="240" w:line="233" w:lineRule="auto"/>
        <w:ind w:left="567"/>
        <w:rPr>
          <w:rFonts w:ascii="Arial" w:hAnsi="Arial"/>
          <w:sz w:val="24"/>
          <w:szCs w:val="24"/>
        </w:rPr>
      </w:pPr>
      <w:r w:rsidRPr="0038665F">
        <w:rPr>
          <w:rFonts w:ascii="Arial" w:hAnsi="Arial"/>
          <w:sz w:val="24"/>
          <w:szCs w:val="24"/>
          <w:lang w:val="en-AU" w:eastAsia="en-AU"/>
        </w:rPr>
        <w:t>Poor procurement</w:t>
      </w:r>
      <w:r w:rsidR="00975F5A" w:rsidRPr="0038665F">
        <w:rPr>
          <w:rFonts w:ascii="Arial" w:hAnsi="Arial"/>
          <w:sz w:val="24"/>
          <w:szCs w:val="24"/>
          <w:lang w:val="en-AU" w:eastAsia="en-AU"/>
        </w:rPr>
        <w:t>,</w:t>
      </w:r>
      <w:r w:rsidRPr="0038665F">
        <w:rPr>
          <w:rFonts w:ascii="Arial" w:hAnsi="Arial"/>
          <w:sz w:val="24"/>
          <w:szCs w:val="24"/>
          <w:lang w:val="en-AU" w:eastAsia="en-AU"/>
        </w:rPr>
        <w:t xml:space="preserve"> whether through inadequate market testing, weak contract management, uncontrolled variations, or failure to apply a proportionate process</w:t>
      </w:r>
      <w:r w:rsidR="008F3138" w:rsidRPr="0038665F">
        <w:rPr>
          <w:rFonts w:ascii="Arial" w:hAnsi="Arial"/>
          <w:sz w:val="24"/>
          <w:szCs w:val="24"/>
          <w:lang w:val="en-AU" w:eastAsia="en-AU"/>
        </w:rPr>
        <w:t>,</w:t>
      </w:r>
      <w:r w:rsidRPr="0038665F">
        <w:rPr>
          <w:rFonts w:ascii="Arial" w:hAnsi="Arial"/>
          <w:sz w:val="24"/>
          <w:szCs w:val="24"/>
          <w:lang w:val="en-AU" w:eastAsia="en-AU"/>
        </w:rPr>
        <w:t xml:space="preserve"> has a direct and measurable impact on Council’s financial sustainability. Every officer involved in procurement shares responsibility for protecting the public funds entrusted to Council.</w:t>
      </w:r>
    </w:p>
    <w:p w14:paraId="22611F63" w14:textId="22611F63" w:rsidR="00694501" w:rsidRPr="002C7F3A" w:rsidRDefault="00694501" w:rsidP="00CC3C75">
      <w:pPr>
        <w:pStyle w:val="proc1"/>
        <w:numPr>
          <w:ilvl w:val="1"/>
          <w:numId w:val="11"/>
        </w:numPr>
        <w:rPr>
          <w:sz w:val="28"/>
          <w:szCs w:val="28"/>
        </w:rPr>
      </w:pPr>
      <w:bookmarkStart w:id="25" w:name="_Toc227674533"/>
      <w:bookmarkStart w:id="26" w:name="_Toc227674660"/>
      <w:bookmarkStart w:id="27" w:name="_Toc227674797"/>
      <w:bookmarkStart w:id="28" w:name="_Toc227674932"/>
      <w:bookmarkStart w:id="29" w:name="_Toc227675069"/>
      <w:bookmarkStart w:id="30" w:name="_Toc227675206"/>
      <w:bookmarkStart w:id="31" w:name="_Toc227675343"/>
      <w:bookmarkStart w:id="32" w:name="_Toc227675480"/>
      <w:bookmarkStart w:id="33" w:name="_Toc227675617"/>
      <w:bookmarkStart w:id="34" w:name="_Toc227675755"/>
      <w:bookmarkStart w:id="35" w:name="_Toc227675889"/>
      <w:bookmarkStart w:id="36" w:name="_Toc240536442"/>
      <w:bookmarkEnd w:id="25"/>
      <w:bookmarkEnd w:id="26"/>
      <w:bookmarkEnd w:id="27"/>
      <w:bookmarkEnd w:id="28"/>
      <w:bookmarkEnd w:id="29"/>
      <w:bookmarkEnd w:id="30"/>
      <w:bookmarkEnd w:id="31"/>
      <w:bookmarkEnd w:id="32"/>
      <w:bookmarkEnd w:id="33"/>
      <w:bookmarkEnd w:id="34"/>
      <w:bookmarkEnd w:id="35"/>
      <w:r w:rsidRPr="002C7F3A">
        <w:rPr>
          <w:sz w:val="28"/>
          <w:szCs w:val="28"/>
        </w:rPr>
        <w:t>How Strategic Trade-offs Are Made</w:t>
      </w:r>
      <w:bookmarkEnd w:id="36"/>
    </w:p>
    <w:p w14:paraId="376221D0" w14:textId="71AAA5F9" w:rsidR="00694501" w:rsidRPr="0038665F" w:rsidRDefault="00694501" w:rsidP="00A324D3">
      <w:pPr>
        <w:spacing w:after="240"/>
        <w:ind w:left="425"/>
        <w:jc w:val="both"/>
        <w:rPr>
          <w:sz w:val="24"/>
          <w:szCs w:val="24"/>
        </w:rPr>
      </w:pPr>
      <w:r w:rsidRPr="0038665F">
        <w:rPr>
          <w:sz w:val="24"/>
          <w:szCs w:val="24"/>
        </w:rPr>
        <w:t xml:space="preserve">The strategic objectives above will not always point in the same direction. Where </w:t>
      </w:r>
      <w:r w:rsidR="00773589" w:rsidRPr="0038665F">
        <w:rPr>
          <w:sz w:val="24"/>
          <w:szCs w:val="24"/>
        </w:rPr>
        <w:t>ambiguity exists</w:t>
      </w:r>
      <w:r w:rsidRPr="0038665F">
        <w:rPr>
          <w:sz w:val="24"/>
          <w:szCs w:val="24"/>
        </w:rPr>
        <w:t xml:space="preserve">, officers must apply the following principles in </w:t>
      </w:r>
      <w:r w:rsidR="00773589" w:rsidRPr="0038665F">
        <w:rPr>
          <w:sz w:val="24"/>
          <w:szCs w:val="24"/>
        </w:rPr>
        <w:t xml:space="preserve">this </w:t>
      </w:r>
      <w:r w:rsidRPr="0038665F">
        <w:rPr>
          <w:sz w:val="24"/>
          <w:szCs w:val="24"/>
        </w:rPr>
        <w:t>order:</w:t>
      </w:r>
    </w:p>
    <w:p w14:paraId="281C1FB2" w14:textId="4E23B188" w:rsidR="00135BD5" w:rsidRPr="0038665F" w:rsidRDefault="00694501" w:rsidP="00A324D3">
      <w:pPr>
        <w:spacing w:after="240"/>
        <w:ind w:left="425"/>
        <w:jc w:val="both"/>
        <w:rPr>
          <w:sz w:val="24"/>
          <w:szCs w:val="24"/>
        </w:rPr>
      </w:pPr>
      <w:r w:rsidRPr="0038665F">
        <w:rPr>
          <w:sz w:val="24"/>
          <w:szCs w:val="24"/>
        </w:rPr>
        <w:t>Mandatory requirements first</w:t>
      </w:r>
      <w:r w:rsidR="00135BD5" w:rsidRPr="0038665F">
        <w:rPr>
          <w:sz w:val="24"/>
          <w:szCs w:val="24"/>
        </w:rPr>
        <w:t>:</w:t>
      </w:r>
      <w:r w:rsidRPr="0038665F">
        <w:rPr>
          <w:sz w:val="24"/>
          <w:szCs w:val="24"/>
        </w:rPr>
        <w:t xml:space="preserve"> Legislative compliance, minimum safety standards, child safe requirements and mandatory insurance thresholds must always be met and are not subject to trade-off.</w:t>
      </w:r>
    </w:p>
    <w:p w14:paraId="3F18F180" w14:textId="18CA518E" w:rsidR="00135BD5" w:rsidRPr="0038665F" w:rsidRDefault="00694501" w:rsidP="00A324D3">
      <w:pPr>
        <w:spacing w:after="240"/>
        <w:ind w:left="425"/>
        <w:jc w:val="both"/>
        <w:rPr>
          <w:sz w:val="24"/>
          <w:szCs w:val="24"/>
        </w:rPr>
      </w:pPr>
      <w:r w:rsidRPr="0038665F">
        <w:rPr>
          <w:sz w:val="24"/>
          <w:szCs w:val="24"/>
        </w:rPr>
        <w:t>Financial sustainability as a foundational constraint</w:t>
      </w:r>
      <w:r w:rsidR="00135BD5" w:rsidRPr="0038665F">
        <w:rPr>
          <w:sz w:val="24"/>
          <w:szCs w:val="24"/>
        </w:rPr>
        <w:t>:</w:t>
      </w:r>
      <w:r w:rsidRPr="0038665F">
        <w:rPr>
          <w:sz w:val="24"/>
          <w:szCs w:val="24"/>
        </w:rPr>
        <w:t xml:space="preserve"> No procurement outcome that materially undermines Council’s financial position is acceptable regardless of other benefits.</w:t>
      </w:r>
    </w:p>
    <w:p w14:paraId="63DEB424" w14:textId="256B32C3" w:rsidR="00135BD5" w:rsidRPr="0038665F" w:rsidRDefault="00694501" w:rsidP="00A324D3">
      <w:pPr>
        <w:spacing w:after="240"/>
        <w:ind w:left="425"/>
        <w:jc w:val="both"/>
        <w:rPr>
          <w:sz w:val="24"/>
          <w:szCs w:val="24"/>
        </w:rPr>
      </w:pPr>
      <w:r w:rsidRPr="0038665F">
        <w:rPr>
          <w:sz w:val="24"/>
          <w:szCs w:val="24"/>
        </w:rPr>
        <w:t xml:space="preserve">Value for money as the primary </w:t>
      </w:r>
      <w:r w:rsidR="00135BD5" w:rsidRPr="0038665F">
        <w:rPr>
          <w:sz w:val="24"/>
          <w:szCs w:val="24"/>
        </w:rPr>
        <w:t>assessment</w:t>
      </w:r>
      <w:r w:rsidRPr="0038665F">
        <w:rPr>
          <w:sz w:val="24"/>
          <w:szCs w:val="24"/>
        </w:rPr>
        <w:t xml:space="preserve"> lens</w:t>
      </w:r>
      <w:r w:rsidR="00135BD5" w:rsidRPr="0038665F">
        <w:rPr>
          <w:sz w:val="24"/>
          <w:szCs w:val="24"/>
        </w:rPr>
        <w:t>:</w:t>
      </w:r>
      <w:r w:rsidRPr="0038665F">
        <w:rPr>
          <w:sz w:val="24"/>
          <w:szCs w:val="24"/>
        </w:rPr>
        <w:t xml:space="preserve"> Once mandatory requirements are satisfied, value for money as defined in this Policy is the primary basis for decision-making.</w:t>
      </w:r>
    </w:p>
    <w:p w14:paraId="5F08E2CE" w14:textId="797DF96E" w:rsidR="00135BD5" w:rsidRPr="0038665F" w:rsidRDefault="00694501" w:rsidP="00A324D3">
      <w:pPr>
        <w:spacing w:after="240"/>
        <w:ind w:left="425"/>
        <w:jc w:val="both"/>
        <w:rPr>
          <w:sz w:val="24"/>
          <w:szCs w:val="24"/>
        </w:rPr>
      </w:pPr>
      <w:r w:rsidRPr="0038665F">
        <w:rPr>
          <w:sz w:val="24"/>
          <w:szCs w:val="24"/>
        </w:rPr>
        <w:t>Social, environmental and local benefit within evaluation criteria</w:t>
      </w:r>
      <w:r w:rsidR="00F946E5" w:rsidRPr="0038665F">
        <w:rPr>
          <w:sz w:val="24"/>
          <w:szCs w:val="24"/>
        </w:rPr>
        <w:t>:</w:t>
      </w:r>
      <w:r w:rsidRPr="0038665F">
        <w:rPr>
          <w:sz w:val="24"/>
          <w:szCs w:val="24"/>
        </w:rPr>
        <w:t xml:space="preserve"> These objectives are pursued through the evaluation criteria set out in tender documents at the weightings specified in the Procurement Manual. Where officers are uncertain how to balance competing objectives, they must seek guidance from the Procurement team before proceeding.</w:t>
      </w:r>
    </w:p>
    <w:p w14:paraId="22913D27" w14:textId="5A4BD7D7" w:rsidR="00135BD5" w:rsidRPr="002C7F3A" w:rsidRDefault="00135BD5" w:rsidP="00135BD5">
      <w:pPr>
        <w:pStyle w:val="proc1"/>
        <w:numPr>
          <w:ilvl w:val="1"/>
          <w:numId w:val="11"/>
        </w:numPr>
        <w:rPr>
          <w:sz w:val="28"/>
          <w:szCs w:val="28"/>
        </w:rPr>
      </w:pPr>
      <w:bookmarkStart w:id="37" w:name="_Toc240536443"/>
      <w:r w:rsidRPr="002C7F3A">
        <w:rPr>
          <w:sz w:val="28"/>
          <w:szCs w:val="28"/>
        </w:rPr>
        <w:t>Good procurement outcomes</w:t>
      </w:r>
      <w:bookmarkEnd w:id="37"/>
    </w:p>
    <w:p w14:paraId="752EF42F" w14:textId="2C5B1446" w:rsidR="00135BD5" w:rsidRPr="0038665F" w:rsidRDefault="00135BD5" w:rsidP="00A324D3">
      <w:pPr>
        <w:spacing w:after="240"/>
        <w:ind w:left="425"/>
        <w:jc w:val="both"/>
        <w:rPr>
          <w:sz w:val="24"/>
          <w:szCs w:val="24"/>
        </w:rPr>
      </w:pPr>
      <w:r w:rsidRPr="0038665F">
        <w:rPr>
          <w:sz w:val="24"/>
          <w:szCs w:val="24"/>
        </w:rPr>
        <w:t>Good procurement for Yarra is strategic, ethical and outcomes</w:t>
      </w:r>
      <w:r w:rsidRPr="0038665F">
        <w:rPr>
          <w:rFonts w:ascii="Cambria Math" w:hAnsi="Cambria Math" w:cs="Cambria Math"/>
          <w:sz w:val="24"/>
          <w:szCs w:val="24"/>
        </w:rPr>
        <w:t>‑</w:t>
      </w:r>
      <w:r w:rsidRPr="0038665F">
        <w:rPr>
          <w:sz w:val="24"/>
          <w:szCs w:val="24"/>
        </w:rPr>
        <w:t>focused. It delivers value for money over the life of a contract while advancing Council’s broader objectives for equity, sustainability, community wellbeing and economic resilience. Good procurement is transparent and fair, encourages healthy competition, and is proportionate to risk and complexity. It supports a diverse and inclusive supplier market, strengthens local and social economies, and manages public resources responsibly.</w:t>
      </w:r>
    </w:p>
    <w:p w14:paraId="5F89A600" w14:textId="7E70E8BA" w:rsidR="001D36D7" w:rsidRPr="0038665F" w:rsidRDefault="00135BD5" w:rsidP="00A324D3">
      <w:pPr>
        <w:spacing w:after="240"/>
        <w:ind w:left="425"/>
        <w:jc w:val="both"/>
        <w:rPr>
          <w:sz w:val="24"/>
          <w:szCs w:val="24"/>
        </w:rPr>
      </w:pPr>
      <w:r w:rsidRPr="0038665F">
        <w:rPr>
          <w:sz w:val="24"/>
          <w:szCs w:val="24"/>
        </w:rPr>
        <w:t>Success is not measured solely by price or compliance. Instead, good procurement balances financial stewardship with long</w:t>
      </w:r>
      <w:r w:rsidRPr="0038665F">
        <w:rPr>
          <w:rFonts w:ascii="Cambria Math" w:hAnsi="Cambria Math" w:cs="Cambria Math"/>
          <w:sz w:val="24"/>
          <w:szCs w:val="24"/>
        </w:rPr>
        <w:t>‑</w:t>
      </w:r>
      <w:r w:rsidRPr="0038665F">
        <w:rPr>
          <w:sz w:val="24"/>
          <w:szCs w:val="24"/>
        </w:rPr>
        <w:t>term value, ensuring that goods, services and works are fit for purpose, delivered on time, and contribute positively to community outcomes. It is embedded across the organisation, understood by staff, and consistently applied through clear policies, sound governance and robust decision</w:t>
      </w:r>
      <w:r w:rsidRPr="0038665F">
        <w:rPr>
          <w:rFonts w:ascii="Cambria Math" w:hAnsi="Cambria Math" w:cs="Cambria Math"/>
          <w:sz w:val="24"/>
          <w:szCs w:val="24"/>
        </w:rPr>
        <w:t>‑</w:t>
      </w:r>
      <w:r w:rsidRPr="0038665F">
        <w:rPr>
          <w:sz w:val="24"/>
          <w:szCs w:val="24"/>
        </w:rPr>
        <w:t>making.</w:t>
      </w:r>
    </w:p>
    <w:p w14:paraId="47DAA99A" w14:textId="77777777" w:rsidR="00694501" w:rsidRPr="005F6A36" w:rsidRDefault="00694501" w:rsidP="008F3138">
      <w:pPr>
        <w:pStyle w:val="Heading1"/>
        <w:keepLines/>
        <w:numPr>
          <w:ilvl w:val="0"/>
          <w:numId w:val="11"/>
        </w:numPr>
        <w:spacing w:before="480" w:after="0" w:line="276" w:lineRule="auto"/>
        <w:rPr>
          <w:sz w:val="36"/>
          <w:szCs w:val="36"/>
        </w:rPr>
      </w:pPr>
      <w:bookmarkStart w:id="38" w:name="_Toc227674536"/>
      <w:bookmarkStart w:id="39" w:name="_Toc227674663"/>
      <w:bookmarkStart w:id="40" w:name="_Toc227674800"/>
      <w:bookmarkStart w:id="41" w:name="_Toc227674935"/>
      <w:bookmarkStart w:id="42" w:name="_Toc227675072"/>
      <w:bookmarkStart w:id="43" w:name="_Toc227675209"/>
      <w:bookmarkStart w:id="44" w:name="_Toc227675346"/>
      <w:bookmarkStart w:id="45" w:name="_Toc227675483"/>
      <w:bookmarkStart w:id="46" w:name="_Toc227675620"/>
      <w:bookmarkStart w:id="47" w:name="_Toc227675758"/>
      <w:bookmarkStart w:id="48" w:name="_Toc227675892"/>
      <w:bookmarkStart w:id="49" w:name="_Toc227253309"/>
      <w:bookmarkStart w:id="50" w:name="_Toc227253401"/>
      <w:bookmarkStart w:id="51" w:name="_Toc227674537"/>
      <w:bookmarkStart w:id="52" w:name="_Toc227674664"/>
      <w:bookmarkStart w:id="53" w:name="_Toc227674801"/>
      <w:bookmarkStart w:id="54" w:name="_Toc227674936"/>
      <w:bookmarkStart w:id="55" w:name="_Toc227675073"/>
      <w:bookmarkStart w:id="56" w:name="_Toc227675210"/>
      <w:bookmarkStart w:id="57" w:name="_Toc227675347"/>
      <w:bookmarkStart w:id="58" w:name="_Toc227675484"/>
      <w:bookmarkStart w:id="59" w:name="_Toc227675621"/>
      <w:bookmarkStart w:id="60" w:name="_Toc227675759"/>
      <w:bookmarkStart w:id="61" w:name="_Toc227675893"/>
      <w:bookmarkStart w:id="62" w:name="_Toc227253310"/>
      <w:bookmarkStart w:id="63" w:name="_Toc227253402"/>
      <w:bookmarkStart w:id="64" w:name="_Toc227674538"/>
      <w:bookmarkStart w:id="65" w:name="_Toc227674665"/>
      <w:bookmarkStart w:id="66" w:name="_Toc227674802"/>
      <w:bookmarkStart w:id="67" w:name="_Toc227674937"/>
      <w:bookmarkStart w:id="68" w:name="_Toc227675074"/>
      <w:bookmarkStart w:id="69" w:name="_Toc227675211"/>
      <w:bookmarkStart w:id="70" w:name="_Toc227675348"/>
      <w:bookmarkStart w:id="71" w:name="_Toc227675485"/>
      <w:bookmarkStart w:id="72" w:name="_Toc227675622"/>
      <w:bookmarkStart w:id="73" w:name="_Toc227675760"/>
      <w:bookmarkStart w:id="74" w:name="_Toc227675894"/>
      <w:bookmarkStart w:id="75" w:name="_Toc227253311"/>
      <w:bookmarkStart w:id="76" w:name="_Toc227253403"/>
      <w:bookmarkStart w:id="77" w:name="_Toc227674539"/>
      <w:bookmarkStart w:id="78" w:name="_Toc227674666"/>
      <w:bookmarkStart w:id="79" w:name="_Toc227674803"/>
      <w:bookmarkStart w:id="80" w:name="_Toc227674938"/>
      <w:bookmarkStart w:id="81" w:name="_Toc227675075"/>
      <w:bookmarkStart w:id="82" w:name="_Toc227675212"/>
      <w:bookmarkStart w:id="83" w:name="_Toc227675349"/>
      <w:bookmarkStart w:id="84" w:name="_Toc227675486"/>
      <w:bookmarkStart w:id="85" w:name="_Toc227675623"/>
      <w:bookmarkStart w:id="86" w:name="_Toc227675761"/>
      <w:bookmarkStart w:id="87" w:name="_Toc227675895"/>
      <w:bookmarkStart w:id="88" w:name="_Toc227253312"/>
      <w:bookmarkStart w:id="89" w:name="_Toc227253404"/>
      <w:bookmarkStart w:id="90" w:name="_Toc227674540"/>
      <w:bookmarkStart w:id="91" w:name="_Toc227674667"/>
      <w:bookmarkStart w:id="92" w:name="_Toc227674804"/>
      <w:bookmarkStart w:id="93" w:name="_Toc227674939"/>
      <w:bookmarkStart w:id="94" w:name="_Toc227675076"/>
      <w:bookmarkStart w:id="95" w:name="_Toc227675213"/>
      <w:bookmarkStart w:id="96" w:name="_Toc227675350"/>
      <w:bookmarkStart w:id="97" w:name="_Toc227675487"/>
      <w:bookmarkStart w:id="98" w:name="_Toc227675624"/>
      <w:bookmarkStart w:id="99" w:name="_Toc227675762"/>
      <w:bookmarkStart w:id="100" w:name="_Toc227675896"/>
      <w:bookmarkStart w:id="101" w:name="_Toc227253313"/>
      <w:bookmarkStart w:id="102" w:name="_Toc227253405"/>
      <w:bookmarkStart w:id="103" w:name="_Toc227674541"/>
      <w:bookmarkStart w:id="104" w:name="_Toc227674668"/>
      <w:bookmarkStart w:id="105" w:name="_Toc227674805"/>
      <w:bookmarkStart w:id="106" w:name="_Toc227674940"/>
      <w:bookmarkStart w:id="107" w:name="_Toc227675077"/>
      <w:bookmarkStart w:id="108" w:name="_Toc227675214"/>
      <w:bookmarkStart w:id="109" w:name="_Toc227675351"/>
      <w:bookmarkStart w:id="110" w:name="_Toc227675488"/>
      <w:bookmarkStart w:id="111" w:name="_Toc227675625"/>
      <w:bookmarkStart w:id="112" w:name="_Toc227675763"/>
      <w:bookmarkStart w:id="113" w:name="_Toc227675897"/>
      <w:bookmarkStart w:id="114" w:name="_Toc84884772"/>
      <w:bookmarkStart w:id="115" w:name="_Toc85461559"/>
      <w:bookmarkStart w:id="116" w:name="_Toc240536444"/>
      <w:bookmarkStart w:id="117" w:name="_Toc83921435"/>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sidRPr="005F6A36">
        <w:rPr>
          <w:sz w:val="36"/>
          <w:szCs w:val="36"/>
        </w:rPr>
        <w:t>Principles</w:t>
      </w:r>
      <w:bookmarkEnd w:id="114"/>
      <w:bookmarkEnd w:id="115"/>
      <w:bookmarkEnd w:id="116"/>
      <w:r w:rsidRPr="005F6A36">
        <w:rPr>
          <w:sz w:val="36"/>
          <w:szCs w:val="36"/>
        </w:rPr>
        <w:t xml:space="preserve"> </w:t>
      </w:r>
      <w:bookmarkStart w:id="118" w:name="_Toc84884773"/>
      <w:bookmarkEnd w:id="117"/>
    </w:p>
    <w:p w14:paraId="2AA945AC" w14:textId="77777777" w:rsidR="00694501" w:rsidRPr="002C7F3A" w:rsidRDefault="00694501" w:rsidP="008F3138">
      <w:pPr>
        <w:pStyle w:val="proc1"/>
        <w:numPr>
          <w:ilvl w:val="1"/>
          <w:numId w:val="11"/>
        </w:numPr>
        <w:rPr>
          <w:sz w:val="28"/>
          <w:szCs w:val="28"/>
        </w:rPr>
      </w:pPr>
      <w:bookmarkStart w:id="119" w:name="_Toc85461560"/>
      <w:bookmarkStart w:id="120" w:name="_Toc240536445"/>
      <w:r w:rsidRPr="002C7F3A">
        <w:rPr>
          <w:sz w:val="28"/>
          <w:szCs w:val="28"/>
        </w:rPr>
        <w:t>Overview</w:t>
      </w:r>
      <w:bookmarkEnd w:id="118"/>
      <w:bookmarkEnd w:id="119"/>
      <w:bookmarkEnd w:id="120"/>
    </w:p>
    <w:p w14:paraId="182FC7E0" w14:textId="77777777" w:rsidR="00907DF4" w:rsidRPr="0038665F" w:rsidRDefault="00907DF4" w:rsidP="00A324D3">
      <w:pPr>
        <w:spacing w:after="240"/>
        <w:ind w:left="425"/>
        <w:jc w:val="both"/>
        <w:rPr>
          <w:sz w:val="24"/>
          <w:szCs w:val="24"/>
        </w:rPr>
      </w:pPr>
      <w:r w:rsidRPr="0038665F">
        <w:rPr>
          <w:sz w:val="24"/>
          <w:szCs w:val="24"/>
        </w:rPr>
        <w:t>This section sets out the core principles that govern all procurement undertaken by Yarra City Council. These principles articulate the standards, values and expectations that inform procurement decision</w:t>
      </w:r>
      <w:r w:rsidRPr="0038665F">
        <w:rPr>
          <w:rFonts w:ascii="Cambria Math" w:hAnsi="Cambria Math" w:cs="Cambria Math"/>
          <w:sz w:val="24"/>
          <w:szCs w:val="24"/>
        </w:rPr>
        <w:t>‑</w:t>
      </w:r>
      <w:r w:rsidRPr="0038665F">
        <w:rPr>
          <w:sz w:val="24"/>
          <w:szCs w:val="24"/>
        </w:rPr>
        <w:t>making and apply across the full procurement lifecycle — from planning and market engagement through to contract management and completion.</w:t>
      </w:r>
    </w:p>
    <w:p w14:paraId="35848F1E" w14:textId="06C484EC" w:rsidR="5F2E2C82" w:rsidRPr="0038665F" w:rsidRDefault="00907DF4" w:rsidP="5F2E2C82">
      <w:pPr>
        <w:spacing w:after="240"/>
        <w:ind w:left="425"/>
        <w:jc w:val="both"/>
        <w:rPr>
          <w:sz w:val="24"/>
          <w:szCs w:val="24"/>
        </w:rPr>
      </w:pPr>
      <w:r w:rsidRPr="0038665F">
        <w:rPr>
          <w:sz w:val="24"/>
          <w:szCs w:val="24"/>
        </w:rPr>
        <w:t>All procurement activity must be consistent with these principles. They provide the basis on which procurement decisions can be understood, assessed and scrutinised by the community, Council and regulatory bodies.</w:t>
      </w:r>
    </w:p>
    <w:p w14:paraId="74DD12D7" w14:textId="1AFE4C22" w:rsidR="00694501" w:rsidRPr="002C7F3A" w:rsidRDefault="008A67D9" w:rsidP="009F1E3B">
      <w:pPr>
        <w:pStyle w:val="proc1"/>
        <w:numPr>
          <w:ilvl w:val="1"/>
          <w:numId w:val="11"/>
        </w:numPr>
        <w:rPr>
          <w:sz w:val="28"/>
          <w:szCs w:val="28"/>
        </w:rPr>
      </w:pPr>
      <w:bookmarkStart w:id="121" w:name="_Toc227674544"/>
      <w:bookmarkStart w:id="122" w:name="_Toc227674671"/>
      <w:bookmarkStart w:id="123" w:name="_Toc227674808"/>
      <w:bookmarkStart w:id="124" w:name="_Toc227674943"/>
      <w:bookmarkStart w:id="125" w:name="_Toc227675080"/>
      <w:bookmarkStart w:id="126" w:name="_Toc227675217"/>
      <w:bookmarkStart w:id="127" w:name="_Toc227675354"/>
      <w:bookmarkStart w:id="128" w:name="_Toc227675491"/>
      <w:bookmarkStart w:id="129" w:name="_Toc227675628"/>
      <w:bookmarkStart w:id="130" w:name="_Toc227675766"/>
      <w:bookmarkStart w:id="131" w:name="_Toc227675900"/>
      <w:bookmarkStart w:id="132" w:name="_Toc227674545"/>
      <w:bookmarkStart w:id="133" w:name="_Toc227674672"/>
      <w:bookmarkStart w:id="134" w:name="_Toc227674809"/>
      <w:bookmarkStart w:id="135" w:name="_Toc227674944"/>
      <w:bookmarkStart w:id="136" w:name="_Toc227675081"/>
      <w:bookmarkStart w:id="137" w:name="_Toc227675218"/>
      <w:bookmarkStart w:id="138" w:name="_Toc227675355"/>
      <w:bookmarkStart w:id="139" w:name="_Toc227675492"/>
      <w:bookmarkStart w:id="140" w:name="_Toc227675629"/>
      <w:bookmarkStart w:id="141" w:name="_Toc227675767"/>
      <w:bookmarkStart w:id="142" w:name="_Toc227675901"/>
      <w:bookmarkStart w:id="143" w:name="_Toc227674546"/>
      <w:bookmarkStart w:id="144" w:name="_Toc227674673"/>
      <w:bookmarkStart w:id="145" w:name="_Toc227674810"/>
      <w:bookmarkStart w:id="146" w:name="_Toc227674945"/>
      <w:bookmarkStart w:id="147" w:name="_Toc227675082"/>
      <w:bookmarkStart w:id="148" w:name="_Toc227675219"/>
      <w:bookmarkStart w:id="149" w:name="_Toc227675356"/>
      <w:bookmarkStart w:id="150" w:name="_Toc227675493"/>
      <w:bookmarkStart w:id="151" w:name="_Toc227675630"/>
      <w:bookmarkStart w:id="152" w:name="_Toc227675768"/>
      <w:bookmarkStart w:id="153" w:name="_Toc227675902"/>
      <w:bookmarkStart w:id="154" w:name="_Toc83970714"/>
      <w:bookmarkStart w:id="155" w:name="_Toc83970895"/>
      <w:bookmarkStart w:id="156" w:name="_Toc83970961"/>
      <w:bookmarkStart w:id="157" w:name="_Toc83971052"/>
      <w:bookmarkStart w:id="158" w:name="_Toc83971146"/>
      <w:bookmarkStart w:id="159" w:name="_Toc83971359"/>
      <w:bookmarkStart w:id="160" w:name="_Toc240536446"/>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sidRPr="002C7F3A">
        <w:rPr>
          <w:sz w:val="28"/>
          <w:szCs w:val="28"/>
        </w:rPr>
        <w:t>Procurement Principles</w:t>
      </w:r>
      <w:bookmarkEnd w:id="160"/>
    </w:p>
    <w:p w14:paraId="61E9D3AE" w14:textId="4D8BD0DD" w:rsidR="00692752" w:rsidRPr="0038665F" w:rsidRDefault="00F442DA" w:rsidP="007822A5">
      <w:pPr>
        <w:ind w:left="425"/>
        <w:jc w:val="both"/>
        <w:rPr>
          <w:sz w:val="24"/>
          <w:szCs w:val="24"/>
        </w:rPr>
      </w:pPr>
      <w:r w:rsidRPr="0038665F">
        <w:rPr>
          <w:sz w:val="24"/>
          <w:szCs w:val="24"/>
        </w:rPr>
        <w:t>Council’s procurement activities are guided by the following fundamental principles:</w:t>
      </w:r>
    </w:p>
    <w:p w14:paraId="74C84012" w14:textId="77777777" w:rsidR="00F442DA" w:rsidRPr="0038665F" w:rsidRDefault="00F442DA" w:rsidP="00A324D3">
      <w:pPr>
        <w:ind w:left="349" w:firstLine="76"/>
        <w:jc w:val="both"/>
        <w:rPr>
          <w:b/>
          <w:bCs/>
          <w:sz w:val="24"/>
          <w:szCs w:val="24"/>
        </w:rPr>
      </w:pPr>
      <w:r w:rsidRPr="0038665F">
        <w:rPr>
          <w:b/>
          <w:bCs/>
          <w:sz w:val="24"/>
          <w:szCs w:val="24"/>
        </w:rPr>
        <w:t>Value for Money</w:t>
      </w:r>
    </w:p>
    <w:p w14:paraId="414EF956" w14:textId="77777777" w:rsidR="00F442DA" w:rsidRPr="0038665F" w:rsidRDefault="00F442DA" w:rsidP="00A324D3">
      <w:pPr>
        <w:ind w:left="425"/>
        <w:jc w:val="both"/>
        <w:rPr>
          <w:rFonts w:eastAsiaTheme="minorHAnsi"/>
          <w:sz w:val="24"/>
          <w:szCs w:val="24"/>
        </w:rPr>
      </w:pPr>
      <w:r w:rsidRPr="0038665F">
        <w:rPr>
          <w:rFonts w:eastAsiaTheme="minorHAnsi"/>
          <w:sz w:val="24"/>
          <w:szCs w:val="24"/>
        </w:rPr>
        <w:t>Procurement decisions must achieve the best overall outcome for the community, having regard to price, quality, risk, whole</w:t>
      </w:r>
      <w:r w:rsidRPr="0038665F">
        <w:rPr>
          <w:rFonts w:ascii="Cambria Math" w:eastAsiaTheme="minorHAnsi" w:hAnsi="Cambria Math" w:cs="Cambria Math"/>
          <w:sz w:val="24"/>
          <w:szCs w:val="24"/>
        </w:rPr>
        <w:t>‑</w:t>
      </w:r>
      <w:r w:rsidRPr="0038665F">
        <w:rPr>
          <w:rFonts w:eastAsiaTheme="minorHAnsi"/>
          <w:sz w:val="24"/>
          <w:szCs w:val="24"/>
        </w:rPr>
        <w:t>of</w:t>
      </w:r>
      <w:r w:rsidRPr="0038665F">
        <w:rPr>
          <w:rFonts w:ascii="Cambria Math" w:eastAsiaTheme="minorHAnsi" w:hAnsi="Cambria Math" w:cs="Cambria Math"/>
          <w:sz w:val="24"/>
          <w:szCs w:val="24"/>
        </w:rPr>
        <w:t>‑</w:t>
      </w:r>
      <w:r w:rsidRPr="0038665F">
        <w:rPr>
          <w:rFonts w:eastAsiaTheme="minorHAnsi"/>
          <w:sz w:val="24"/>
          <w:szCs w:val="24"/>
        </w:rPr>
        <w:t>life costs, and social, environmental and economic outcomes.</w:t>
      </w:r>
    </w:p>
    <w:p w14:paraId="17033620" w14:textId="77777777" w:rsidR="00692752" w:rsidRPr="0038665F" w:rsidRDefault="00692752" w:rsidP="00A324D3">
      <w:pPr>
        <w:ind w:left="349" w:firstLine="11"/>
        <w:jc w:val="both"/>
        <w:rPr>
          <w:sz w:val="24"/>
          <w:szCs w:val="24"/>
        </w:rPr>
      </w:pPr>
    </w:p>
    <w:p w14:paraId="5578650B" w14:textId="77777777" w:rsidR="00F442DA" w:rsidRPr="0038665F" w:rsidRDefault="00F442DA" w:rsidP="00A324D3">
      <w:pPr>
        <w:ind w:left="360" w:firstLine="65"/>
        <w:jc w:val="both"/>
        <w:rPr>
          <w:b/>
          <w:bCs/>
          <w:sz w:val="24"/>
          <w:szCs w:val="24"/>
        </w:rPr>
      </w:pPr>
      <w:r w:rsidRPr="0038665F">
        <w:rPr>
          <w:b/>
          <w:bCs/>
          <w:sz w:val="24"/>
          <w:szCs w:val="24"/>
        </w:rPr>
        <w:t>Open and Fair Competition</w:t>
      </w:r>
    </w:p>
    <w:p w14:paraId="06C9467E" w14:textId="77777777" w:rsidR="00F442DA" w:rsidRPr="0038665F" w:rsidRDefault="00F442DA" w:rsidP="00692752">
      <w:pPr>
        <w:ind w:left="360" w:firstLine="65"/>
        <w:jc w:val="both"/>
        <w:rPr>
          <w:rFonts w:eastAsiaTheme="minorHAnsi"/>
          <w:sz w:val="24"/>
          <w:szCs w:val="24"/>
        </w:rPr>
      </w:pPr>
      <w:r w:rsidRPr="0038665F">
        <w:rPr>
          <w:rFonts w:eastAsiaTheme="minorHAnsi"/>
          <w:sz w:val="24"/>
          <w:szCs w:val="24"/>
        </w:rPr>
        <w:t>Procurement processes must be competitive, transparent and non</w:t>
      </w:r>
      <w:r w:rsidRPr="0038665F">
        <w:rPr>
          <w:rFonts w:ascii="Cambria Math" w:eastAsiaTheme="minorHAnsi" w:hAnsi="Cambria Math" w:cs="Cambria Math"/>
          <w:sz w:val="24"/>
          <w:szCs w:val="24"/>
        </w:rPr>
        <w:t>‑</w:t>
      </w:r>
      <w:r w:rsidRPr="0038665F">
        <w:rPr>
          <w:rFonts w:eastAsiaTheme="minorHAnsi"/>
          <w:sz w:val="24"/>
          <w:szCs w:val="24"/>
        </w:rPr>
        <w:t>discriminatory, providing suppliers with a fair and equitable opportunity to participate.</w:t>
      </w:r>
    </w:p>
    <w:p w14:paraId="516A90EF" w14:textId="77777777" w:rsidR="00692752" w:rsidRPr="0038665F" w:rsidRDefault="00692752" w:rsidP="00A324D3">
      <w:pPr>
        <w:jc w:val="both"/>
        <w:rPr>
          <w:sz w:val="24"/>
          <w:szCs w:val="24"/>
        </w:rPr>
      </w:pPr>
    </w:p>
    <w:p w14:paraId="27CAEA88" w14:textId="77777777" w:rsidR="00F442DA" w:rsidRPr="0038665F" w:rsidRDefault="00F442DA" w:rsidP="00A324D3">
      <w:pPr>
        <w:ind w:left="360" w:firstLine="65"/>
        <w:jc w:val="both"/>
        <w:rPr>
          <w:b/>
          <w:bCs/>
          <w:sz w:val="24"/>
          <w:szCs w:val="24"/>
        </w:rPr>
      </w:pPr>
      <w:r w:rsidRPr="0038665F">
        <w:rPr>
          <w:b/>
          <w:bCs/>
          <w:sz w:val="24"/>
          <w:szCs w:val="24"/>
        </w:rPr>
        <w:t>Integrity, Probity and Accountability</w:t>
      </w:r>
    </w:p>
    <w:p w14:paraId="2E9428CB" w14:textId="77777777" w:rsidR="00F442DA" w:rsidRPr="0038665F" w:rsidRDefault="00F442DA" w:rsidP="00692752">
      <w:pPr>
        <w:ind w:left="425"/>
        <w:jc w:val="both"/>
        <w:rPr>
          <w:rFonts w:eastAsiaTheme="minorHAnsi"/>
          <w:sz w:val="24"/>
          <w:szCs w:val="24"/>
        </w:rPr>
      </w:pPr>
      <w:r w:rsidRPr="0038665F">
        <w:rPr>
          <w:rFonts w:eastAsiaTheme="minorHAnsi"/>
          <w:sz w:val="24"/>
          <w:szCs w:val="24"/>
        </w:rPr>
        <w:t>All procurement must be conducted ethically and with the highest standards of integrity. Decisions must be transparent, properly documented, and capable of withstanding public, audit and regulatory scrutiny.</w:t>
      </w:r>
    </w:p>
    <w:p w14:paraId="7091A31D" w14:textId="77777777" w:rsidR="00692752" w:rsidRDefault="00692752" w:rsidP="00A324D3">
      <w:pPr>
        <w:jc w:val="both"/>
        <w:rPr>
          <w:sz w:val="24"/>
          <w:szCs w:val="24"/>
        </w:rPr>
      </w:pPr>
    </w:p>
    <w:p w14:paraId="7EA01478" w14:textId="77777777" w:rsidR="002C7F3A" w:rsidRPr="0038665F" w:rsidRDefault="002C7F3A" w:rsidP="00A324D3">
      <w:pPr>
        <w:jc w:val="both"/>
        <w:rPr>
          <w:sz w:val="24"/>
          <w:szCs w:val="24"/>
        </w:rPr>
      </w:pPr>
    </w:p>
    <w:p w14:paraId="79771E79" w14:textId="77777777" w:rsidR="00F442DA" w:rsidRPr="0038665F" w:rsidRDefault="00F442DA" w:rsidP="00A324D3">
      <w:pPr>
        <w:ind w:left="360" w:firstLine="65"/>
        <w:jc w:val="both"/>
        <w:rPr>
          <w:b/>
          <w:bCs/>
          <w:sz w:val="24"/>
          <w:szCs w:val="24"/>
        </w:rPr>
      </w:pPr>
      <w:r w:rsidRPr="0038665F">
        <w:rPr>
          <w:b/>
          <w:bCs/>
          <w:sz w:val="24"/>
          <w:szCs w:val="24"/>
        </w:rPr>
        <w:t>Legislative and Policy Compliance</w:t>
      </w:r>
    </w:p>
    <w:p w14:paraId="69D8FC65" w14:textId="77777777" w:rsidR="00F442DA" w:rsidRPr="0038665F" w:rsidRDefault="00F442DA" w:rsidP="00692752">
      <w:pPr>
        <w:ind w:left="425"/>
        <w:jc w:val="both"/>
        <w:rPr>
          <w:rFonts w:eastAsiaTheme="minorHAnsi"/>
          <w:sz w:val="24"/>
          <w:szCs w:val="24"/>
        </w:rPr>
      </w:pPr>
      <w:r w:rsidRPr="0038665F">
        <w:rPr>
          <w:rFonts w:eastAsiaTheme="minorHAnsi"/>
          <w:sz w:val="24"/>
          <w:szCs w:val="24"/>
        </w:rPr>
        <w:t>Procurement activity must comply with all applicable legislation, regulations and Council policies, including the Local Government Act 2020 and associated governance requirements.</w:t>
      </w:r>
    </w:p>
    <w:p w14:paraId="0DE3500E" w14:textId="77777777" w:rsidR="00692752" w:rsidRPr="0038665F" w:rsidRDefault="00692752" w:rsidP="00A324D3">
      <w:pPr>
        <w:ind w:left="425"/>
        <w:jc w:val="both"/>
        <w:rPr>
          <w:rFonts w:eastAsiaTheme="minorHAnsi"/>
          <w:sz w:val="24"/>
          <w:szCs w:val="24"/>
        </w:rPr>
      </w:pPr>
    </w:p>
    <w:p w14:paraId="72551058" w14:textId="77777777" w:rsidR="00F442DA" w:rsidRPr="0038665F" w:rsidRDefault="00F442DA" w:rsidP="00A324D3">
      <w:pPr>
        <w:ind w:left="360" w:firstLine="65"/>
        <w:jc w:val="both"/>
        <w:rPr>
          <w:b/>
          <w:bCs/>
          <w:sz w:val="24"/>
          <w:szCs w:val="24"/>
        </w:rPr>
      </w:pPr>
      <w:r w:rsidRPr="0038665F">
        <w:rPr>
          <w:b/>
          <w:bCs/>
          <w:sz w:val="24"/>
          <w:szCs w:val="24"/>
        </w:rPr>
        <w:t>Financial Sustainability and Risk Management</w:t>
      </w:r>
    </w:p>
    <w:p w14:paraId="446102B8" w14:textId="77777777" w:rsidR="00F442DA" w:rsidRPr="0038665F" w:rsidRDefault="00F442DA" w:rsidP="00692752">
      <w:pPr>
        <w:ind w:left="425"/>
        <w:jc w:val="both"/>
        <w:rPr>
          <w:rFonts w:eastAsiaTheme="minorHAnsi"/>
          <w:sz w:val="24"/>
          <w:szCs w:val="24"/>
        </w:rPr>
      </w:pPr>
      <w:r w:rsidRPr="0038665F">
        <w:rPr>
          <w:rFonts w:eastAsiaTheme="minorHAnsi"/>
          <w:sz w:val="24"/>
          <w:szCs w:val="24"/>
        </w:rPr>
        <w:t>Procurement decisions must support Council’s long</w:t>
      </w:r>
      <w:r w:rsidRPr="0038665F">
        <w:rPr>
          <w:rFonts w:ascii="Cambria Math" w:eastAsiaTheme="minorHAnsi" w:hAnsi="Cambria Math" w:cs="Cambria Math"/>
          <w:sz w:val="24"/>
          <w:szCs w:val="24"/>
        </w:rPr>
        <w:t>‑</w:t>
      </w:r>
      <w:r w:rsidRPr="0038665F">
        <w:rPr>
          <w:rFonts w:eastAsiaTheme="minorHAnsi"/>
          <w:sz w:val="24"/>
          <w:szCs w:val="24"/>
        </w:rPr>
        <w:t>term financial sustainability and actively manage commercial, operational and reputational risk.</w:t>
      </w:r>
    </w:p>
    <w:p w14:paraId="1BD17945" w14:textId="77777777" w:rsidR="00692752" w:rsidRPr="0038665F" w:rsidRDefault="00692752" w:rsidP="00A324D3">
      <w:pPr>
        <w:ind w:left="425"/>
        <w:jc w:val="both"/>
        <w:rPr>
          <w:rFonts w:eastAsiaTheme="minorHAnsi"/>
          <w:sz w:val="24"/>
          <w:szCs w:val="24"/>
        </w:rPr>
      </w:pPr>
    </w:p>
    <w:p w14:paraId="06E1AD3F" w14:textId="77777777" w:rsidR="00F442DA" w:rsidRPr="0038665F" w:rsidRDefault="00F442DA" w:rsidP="00A324D3">
      <w:pPr>
        <w:ind w:left="360" w:firstLine="65"/>
        <w:jc w:val="both"/>
        <w:rPr>
          <w:b/>
          <w:bCs/>
          <w:sz w:val="24"/>
          <w:szCs w:val="24"/>
        </w:rPr>
      </w:pPr>
      <w:r w:rsidRPr="0038665F">
        <w:rPr>
          <w:b/>
          <w:bCs/>
          <w:sz w:val="24"/>
          <w:szCs w:val="24"/>
        </w:rPr>
        <w:t>Environmental and Social Responsibility</w:t>
      </w:r>
    </w:p>
    <w:p w14:paraId="1AC0115F" w14:textId="77777777" w:rsidR="00F442DA" w:rsidRPr="0038665F" w:rsidRDefault="00F442DA" w:rsidP="00A324D3">
      <w:pPr>
        <w:ind w:left="425"/>
        <w:jc w:val="both"/>
        <w:rPr>
          <w:rFonts w:eastAsiaTheme="minorHAnsi"/>
          <w:sz w:val="24"/>
          <w:szCs w:val="24"/>
        </w:rPr>
      </w:pPr>
      <w:r w:rsidRPr="0038665F">
        <w:rPr>
          <w:rFonts w:eastAsiaTheme="minorEastAsia"/>
          <w:sz w:val="24"/>
          <w:szCs w:val="24"/>
        </w:rPr>
        <w:t>Council will respond to the climate emergency and pursue social procurement outcomes through proportionate and value</w:t>
      </w:r>
      <w:r w:rsidRPr="0038665F">
        <w:rPr>
          <w:rFonts w:ascii="Cambria Math" w:eastAsiaTheme="minorEastAsia" w:hAnsi="Cambria Math" w:cs="Cambria Math"/>
          <w:sz w:val="24"/>
          <w:szCs w:val="24"/>
        </w:rPr>
        <w:t>‑</w:t>
      </w:r>
      <w:r w:rsidRPr="0038665F">
        <w:rPr>
          <w:rFonts w:eastAsiaTheme="minorEastAsia"/>
          <w:sz w:val="24"/>
          <w:szCs w:val="24"/>
        </w:rPr>
        <w:t>for</w:t>
      </w:r>
      <w:r w:rsidRPr="0038665F">
        <w:rPr>
          <w:rFonts w:ascii="Cambria Math" w:eastAsiaTheme="minorEastAsia" w:hAnsi="Cambria Math" w:cs="Cambria Math"/>
          <w:sz w:val="24"/>
          <w:szCs w:val="24"/>
        </w:rPr>
        <w:t>‑</w:t>
      </w:r>
      <w:r w:rsidRPr="0038665F">
        <w:rPr>
          <w:rFonts w:eastAsiaTheme="minorEastAsia"/>
          <w:sz w:val="24"/>
          <w:szCs w:val="24"/>
        </w:rPr>
        <w:t>money procurement practices, including supporting local businesses, social enterprises and First Peoples businesses.</w:t>
      </w:r>
    </w:p>
    <w:p w14:paraId="3FFA9640" w14:textId="77777777" w:rsidR="00237020" w:rsidRPr="0038665F" w:rsidRDefault="00237020" w:rsidP="00A324D3">
      <w:pPr>
        <w:jc w:val="both"/>
        <w:rPr>
          <w:sz w:val="24"/>
          <w:szCs w:val="24"/>
        </w:rPr>
      </w:pPr>
    </w:p>
    <w:p w14:paraId="7A1C7C8D" w14:textId="77777777" w:rsidR="00F442DA" w:rsidRPr="0038665F" w:rsidRDefault="00F442DA" w:rsidP="00A324D3">
      <w:pPr>
        <w:ind w:left="360" w:firstLine="65"/>
        <w:jc w:val="both"/>
        <w:rPr>
          <w:b/>
          <w:bCs/>
          <w:sz w:val="24"/>
          <w:szCs w:val="24"/>
        </w:rPr>
      </w:pPr>
      <w:r w:rsidRPr="0038665F">
        <w:rPr>
          <w:b/>
          <w:bCs/>
          <w:sz w:val="24"/>
          <w:szCs w:val="24"/>
        </w:rPr>
        <w:t>Collaboration and Market Resilience</w:t>
      </w:r>
    </w:p>
    <w:p w14:paraId="2E83D078" w14:textId="45A3EF80" w:rsidR="00F85033" w:rsidRPr="0038665F" w:rsidRDefault="00F442DA" w:rsidP="0038665F">
      <w:pPr>
        <w:ind w:left="425"/>
        <w:jc w:val="both"/>
        <w:rPr>
          <w:sz w:val="24"/>
          <w:szCs w:val="24"/>
        </w:rPr>
      </w:pPr>
      <w:r w:rsidRPr="0038665F">
        <w:rPr>
          <w:rFonts w:eastAsiaTheme="minorHAnsi"/>
          <w:sz w:val="24"/>
          <w:szCs w:val="24"/>
        </w:rPr>
        <w:t>Where appropriate, Council will pursue collaborative procurement and contract structures that support a diverse, competitive and resilient supply market.</w:t>
      </w:r>
    </w:p>
    <w:p w14:paraId="76111C16" w14:textId="728BC019" w:rsidR="38276134" w:rsidRPr="0038665F" w:rsidRDefault="38276134" w:rsidP="38276134">
      <w:pPr>
        <w:ind w:left="425"/>
        <w:jc w:val="both"/>
        <w:rPr>
          <w:sz w:val="24"/>
          <w:szCs w:val="24"/>
        </w:rPr>
      </w:pPr>
    </w:p>
    <w:p w14:paraId="0C766219" w14:textId="77777777" w:rsidR="00F85033" w:rsidRPr="0038665F" w:rsidRDefault="00F85033" w:rsidP="00A324D3">
      <w:pPr>
        <w:ind w:left="425"/>
        <w:jc w:val="both"/>
        <w:rPr>
          <w:b/>
          <w:bCs/>
          <w:sz w:val="24"/>
          <w:szCs w:val="24"/>
        </w:rPr>
      </w:pPr>
      <w:r w:rsidRPr="0038665F">
        <w:rPr>
          <w:b/>
          <w:bCs/>
          <w:sz w:val="24"/>
          <w:szCs w:val="24"/>
        </w:rPr>
        <w:t>Human Rights, Non-Discrimination and Social Cohesion</w:t>
      </w:r>
    </w:p>
    <w:p w14:paraId="2C4056B8" w14:textId="2F3D7126" w:rsidR="008A67D9" w:rsidRDefault="00F85033" w:rsidP="00A324D3">
      <w:pPr>
        <w:ind w:left="425"/>
        <w:jc w:val="both"/>
        <w:rPr>
          <w:sz w:val="24"/>
          <w:szCs w:val="24"/>
        </w:rPr>
      </w:pPr>
      <w:r w:rsidRPr="0038665F">
        <w:rPr>
          <w:sz w:val="24"/>
          <w:szCs w:val="24"/>
        </w:rPr>
        <w:t>Council will conduct its procurement in a way that upholds human rights, promotes non-discrimination and supports a safe, inclusive and cohesive community. Council does not tolerate discrimination, harassment or exploitation in any form, and expects its suppliers to uphold the same standards across their operations and supply chains.</w:t>
      </w:r>
    </w:p>
    <w:p w14:paraId="69124615" w14:textId="77777777" w:rsidR="002C7F3A" w:rsidRPr="0038665F" w:rsidRDefault="002C7F3A" w:rsidP="00A324D3">
      <w:pPr>
        <w:ind w:left="425"/>
        <w:jc w:val="both"/>
        <w:rPr>
          <w:sz w:val="24"/>
          <w:szCs w:val="24"/>
        </w:rPr>
      </w:pPr>
    </w:p>
    <w:p w14:paraId="4B285943" w14:textId="3A460980" w:rsidR="00C432FB" w:rsidRPr="002C7F3A" w:rsidRDefault="00484D34" w:rsidP="009F1E3B">
      <w:pPr>
        <w:pStyle w:val="proc1"/>
        <w:numPr>
          <w:ilvl w:val="1"/>
          <w:numId w:val="11"/>
        </w:numPr>
        <w:rPr>
          <w:sz w:val="28"/>
          <w:szCs w:val="28"/>
        </w:rPr>
      </w:pPr>
      <w:bookmarkStart w:id="161" w:name="_Toc227674548"/>
      <w:bookmarkStart w:id="162" w:name="_Toc227674675"/>
      <w:bookmarkStart w:id="163" w:name="_Toc227674812"/>
      <w:bookmarkStart w:id="164" w:name="_Toc227674947"/>
      <w:bookmarkStart w:id="165" w:name="_Toc227675084"/>
      <w:bookmarkStart w:id="166" w:name="_Toc227675221"/>
      <w:bookmarkStart w:id="167" w:name="_Toc227675358"/>
      <w:bookmarkStart w:id="168" w:name="_Toc227675495"/>
      <w:bookmarkStart w:id="169" w:name="_Toc227675632"/>
      <w:bookmarkStart w:id="170" w:name="_Toc227675770"/>
      <w:bookmarkStart w:id="171" w:name="_Toc227675904"/>
      <w:bookmarkStart w:id="172" w:name="_Toc227674549"/>
      <w:bookmarkStart w:id="173" w:name="_Toc227674676"/>
      <w:bookmarkStart w:id="174" w:name="_Toc227674813"/>
      <w:bookmarkStart w:id="175" w:name="_Toc227674948"/>
      <w:bookmarkStart w:id="176" w:name="_Toc227675085"/>
      <w:bookmarkStart w:id="177" w:name="_Toc227675222"/>
      <w:bookmarkStart w:id="178" w:name="_Toc227675359"/>
      <w:bookmarkStart w:id="179" w:name="_Toc227675496"/>
      <w:bookmarkStart w:id="180" w:name="_Toc227675633"/>
      <w:bookmarkStart w:id="181" w:name="_Toc227675771"/>
      <w:bookmarkStart w:id="182" w:name="_Toc227675905"/>
      <w:bookmarkStart w:id="183" w:name="_Toc240536447"/>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sidRPr="002C7F3A">
        <w:rPr>
          <w:sz w:val="28"/>
          <w:szCs w:val="28"/>
        </w:rPr>
        <w:t>Legislative Compliance and Related Policies</w:t>
      </w:r>
      <w:bookmarkEnd w:id="183"/>
    </w:p>
    <w:p w14:paraId="52373BCD" w14:textId="77777777" w:rsidR="00A80E3D" w:rsidRPr="0038665F" w:rsidRDefault="00DD2C0B" w:rsidP="00A324D3">
      <w:pPr>
        <w:spacing w:after="240"/>
        <w:ind w:left="425"/>
        <w:jc w:val="both"/>
        <w:rPr>
          <w:sz w:val="24"/>
          <w:szCs w:val="24"/>
        </w:rPr>
      </w:pPr>
      <w:r w:rsidRPr="0038665F">
        <w:rPr>
          <w:sz w:val="24"/>
          <w:szCs w:val="24"/>
        </w:rPr>
        <w:t>Council will comply with all relevant Commonwealth and State legislation and all applicable Council policies when undertaking procurement. Key legislative instruments and related Council policies are outlined in Appendix D.</w:t>
      </w:r>
    </w:p>
    <w:p w14:paraId="5649231C" w14:textId="2BFDFA6B" w:rsidR="00DD2C0B" w:rsidRPr="0038665F" w:rsidRDefault="00A80E3D" w:rsidP="00A324D3">
      <w:pPr>
        <w:spacing w:after="240"/>
        <w:ind w:left="425"/>
        <w:jc w:val="both"/>
        <w:rPr>
          <w:sz w:val="24"/>
          <w:szCs w:val="24"/>
        </w:rPr>
      </w:pPr>
      <w:r w:rsidRPr="0038665F">
        <w:rPr>
          <w:sz w:val="24"/>
          <w:szCs w:val="24"/>
        </w:rPr>
        <w:t>Where a procurement involves the handling of cardholder data, suppliers must comply with the Payment Card Industry Data Security Standard (PCI DSS) in accordance with Council's Purchasing Card Policy and Procedures.</w:t>
      </w:r>
    </w:p>
    <w:p w14:paraId="01A7AE63" w14:textId="2988114E" w:rsidR="00C432FB" w:rsidRPr="0038665F" w:rsidRDefault="00DD2C0B" w:rsidP="00A324D3">
      <w:pPr>
        <w:spacing w:after="240"/>
        <w:ind w:left="425"/>
        <w:jc w:val="both"/>
        <w:rPr>
          <w:sz w:val="24"/>
          <w:szCs w:val="24"/>
        </w:rPr>
      </w:pPr>
      <w:r w:rsidRPr="0038665F">
        <w:rPr>
          <w:sz w:val="24"/>
          <w:szCs w:val="24"/>
        </w:rPr>
        <w:t>Where a conflict arises between this Policy and a legislative requirement, the legislative requirement prevails.</w:t>
      </w:r>
    </w:p>
    <w:p w14:paraId="17C1564B" w14:textId="640CB3E0" w:rsidR="00694501" w:rsidRPr="002C7F3A" w:rsidRDefault="00484D34" w:rsidP="009F1E3B">
      <w:pPr>
        <w:pStyle w:val="proc1"/>
        <w:numPr>
          <w:ilvl w:val="1"/>
          <w:numId w:val="11"/>
        </w:numPr>
        <w:rPr>
          <w:sz w:val="28"/>
          <w:szCs w:val="28"/>
        </w:rPr>
      </w:pPr>
      <w:bookmarkStart w:id="184" w:name="_Toc240536448"/>
      <w:r w:rsidRPr="002C7F3A">
        <w:rPr>
          <w:sz w:val="28"/>
          <w:szCs w:val="28"/>
        </w:rPr>
        <w:t>Procurement during the Caretaker period</w:t>
      </w:r>
      <w:bookmarkEnd w:id="184"/>
    </w:p>
    <w:p w14:paraId="4BD212A1" w14:textId="77777777" w:rsidR="004A0218" w:rsidRPr="0038665F" w:rsidRDefault="004A0218" w:rsidP="00A324D3">
      <w:pPr>
        <w:spacing w:after="240"/>
        <w:ind w:left="425"/>
        <w:jc w:val="both"/>
        <w:rPr>
          <w:sz w:val="24"/>
          <w:szCs w:val="24"/>
        </w:rPr>
      </w:pPr>
      <w:r w:rsidRPr="0038665F">
        <w:rPr>
          <w:sz w:val="24"/>
          <w:szCs w:val="24"/>
        </w:rPr>
        <w:t>The caretaker period is the period leading up to a Council election, commencing on the date gazetted under the Local Government Act 2020 prior to the election. During this period, Council is required to exercise restraint in its decision</w:t>
      </w:r>
      <w:r w:rsidRPr="0038665F">
        <w:rPr>
          <w:rFonts w:ascii="Cambria Math" w:hAnsi="Cambria Math" w:cs="Cambria Math"/>
          <w:sz w:val="24"/>
          <w:szCs w:val="24"/>
        </w:rPr>
        <w:t>‑</w:t>
      </w:r>
      <w:r w:rsidRPr="0038665F">
        <w:rPr>
          <w:sz w:val="24"/>
          <w:szCs w:val="24"/>
        </w:rPr>
        <w:t>making to ensure that public resources are not used in a way that could influence the election or inappropriately bind a future Council to significant or controversial decisions.</w:t>
      </w:r>
    </w:p>
    <w:p w14:paraId="55217A70" w14:textId="77777777" w:rsidR="004A0218" w:rsidRPr="0038665F" w:rsidRDefault="004A0218" w:rsidP="00A324D3">
      <w:pPr>
        <w:spacing w:after="240"/>
        <w:ind w:left="425"/>
        <w:jc w:val="both"/>
        <w:rPr>
          <w:sz w:val="24"/>
          <w:szCs w:val="24"/>
        </w:rPr>
      </w:pPr>
      <w:r w:rsidRPr="0038665F">
        <w:rPr>
          <w:sz w:val="24"/>
          <w:szCs w:val="24"/>
        </w:rPr>
        <w:t>Procurement activity does not cease during the caretaker period. Council will continue to deliver essential services and may undertake procurement that is necessary to maintain normal operations, ensure continuity of services, or respond to urgent or unforeseen circumstances. Any procurement undertaken during this period must be lawful, clearly justified, in the public interest, and proportionate to the circumstances. Decisions must be appropriately documented and capable of withstanding public, audit and regulatory scrutiny. Where there is uncertainty, and the procurement is not essential, the decision should be deferred until after the election where practicable.</w:t>
      </w:r>
    </w:p>
    <w:p w14:paraId="0062ED43" w14:textId="77777777" w:rsidR="004A0218" w:rsidRPr="0038665F" w:rsidRDefault="004A0218" w:rsidP="00A324D3">
      <w:pPr>
        <w:spacing w:after="240"/>
        <w:ind w:left="425"/>
        <w:jc w:val="both"/>
        <w:rPr>
          <w:sz w:val="24"/>
          <w:szCs w:val="24"/>
        </w:rPr>
      </w:pPr>
      <w:r w:rsidRPr="0038665F">
        <w:rPr>
          <w:sz w:val="24"/>
          <w:szCs w:val="24"/>
        </w:rPr>
        <w:t>To support compliance with the Local Government Act 2020, the following procurement activities are generally restricted during the caretaker period unless there is a clear, documented public</w:t>
      </w:r>
      <w:r w:rsidRPr="0038665F">
        <w:rPr>
          <w:rFonts w:ascii="Cambria Math" w:hAnsi="Cambria Math" w:cs="Cambria Math"/>
          <w:sz w:val="24"/>
          <w:szCs w:val="24"/>
        </w:rPr>
        <w:t>‑</w:t>
      </w:r>
      <w:r w:rsidRPr="0038665F">
        <w:rPr>
          <w:sz w:val="24"/>
          <w:szCs w:val="24"/>
        </w:rPr>
        <w:t>interest justification:</w:t>
      </w:r>
    </w:p>
    <w:p w14:paraId="7D191679" w14:textId="565D90B5" w:rsidR="004A0218" w:rsidRPr="0038665F" w:rsidRDefault="009A1261" w:rsidP="004A0218">
      <w:pPr>
        <w:pStyle w:val="ListParagraph"/>
        <w:numPr>
          <w:ilvl w:val="0"/>
          <w:numId w:val="118"/>
        </w:numPr>
        <w:jc w:val="both"/>
        <w:rPr>
          <w:rFonts w:eastAsia="Times New Roman" w:cs="Arial"/>
          <w:sz w:val="24"/>
          <w:szCs w:val="24"/>
          <w:lang w:eastAsia="en-AU"/>
        </w:rPr>
      </w:pPr>
      <w:r w:rsidRPr="0038665F">
        <w:rPr>
          <w:rFonts w:eastAsia="Times New Roman" w:cs="Arial"/>
          <w:sz w:val="24"/>
          <w:szCs w:val="24"/>
          <w:lang w:eastAsia="en-AU"/>
        </w:rPr>
        <w:t>C</w:t>
      </w:r>
      <w:r w:rsidR="004A0218" w:rsidRPr="0038665F">
        <w:rPr>
          <w:rFonts w:eastAsia="Times New Roman" w:cs="Arial"/>
          <w:sz w:val="24"/>
          <w:szCs w:val="24"/>
          <w:lang w:eastAsia="en-AU"/>
        </w:rPr>
        <w:t>ommencing new tenders or major requests for quotation with a total contract value over $300,000;</w:t>
      </w:r>
    </w:p>
    <w:p w14:paraId="468024F4" w14:textId="5E856504" w:rsidR="004A0218" w:rsidRPr="0038665F" w:rsidRDefault="009A1261" w:rsidP="004A0218">
      <w:pPr>
        <w:pStyle w:val="ListParagraph"/>
        <w:numPr>
          <w:ilvl w:val="0"/>
          <w:numId w:val="118"/>
        </w:numPr>
        <w:jc w:val="both"/>
        <w:rPr>
          <w:rFonts w:eastAsia="Times New Roman" w:cs="Arial"/>
          <w:sz w:val="24"/>
          <w:szCs w:val="24"/>
          <w:lang w:eastAsia="en-AU"/>
        </w:rPr>
      </w:pPr>
      <w:r w:rsidRPr="0038665F">
        <w:rPr>
          <w:rFonts w:eastAsia="Times New Roman" w:cs="Arial"/>
          <w:sz w:val="24"/>
          <w:szCs w:val="24"/>
          <w:lang w:eastAsia="en-AU"/>
        </w:rPr>
        <w:t>E</w:t>
      </w:r>
      <w:r w:rsidR="004A0218" w:rsidRPr="0038665F">
        <w:rPr>
          <w:rFonts w:eastAsia="Times New Roman" w:cs="Arial"/>
          <w:sz w:val="24"/>
          <w:szCs w:val="24"/>
          <w:lang w:eastAsia="en-AU"/>
        </w:rPr>
        <w:t>ntering into new multi</w:t>
      </w:r>
      <w:r w:rsidR="004A0218" w:rsidRPr="0038665F">
        <w:rPr>
          <w:rFonts w:ascii="Cambria Math" w:eastAsia="Times New Roman" w:hAnsi="Cambria Math" w:cs="Cambria Math"/>
          <w:sz w:val="24"/>
          <w:szCs w:val="24"/>
          <w:lang w:eastAsia="en-AU"/>
        </w:rPr>
        <w:t>‑</w:t>
      </w:r>
      <w:r w:rsidR="004A0218" w:rsidRPr="0038665F">
        <w:rPr>
          <w:rFonts w:eastAsia="Times New Roman" w:cs="Arial"/>
          <w:sz w:val="24"/>
          <w:szCs w:val="24"/>
          <w:lang w:eastAsia="en-AU"/>
        </w:rPr>
        <w:t>year contracts (generally exceeding three years in duration);</w:t>
      </w:r>
    </w:p>
    <w:p w14:paraId="3D168E5D" w14:textId="3E812E8F" w:rsidR="004A0218" w:rsidRPr="0038665F" w:rsidRDefault="009A1261" w:rsidP="004A0218">
      <w:pPr>
        <w:pStyle w:val="ListParagraph"/>
        <w:numPr>
          <w:ilvl w:val="0"/>
          <w:numId w:val="118"/>
        </w:numPr>
        <w:jc w:val="both"/>
        <w:rPr>
          <w:rFonts w:eastAsia="Times New Roman" w:cs="Arial"/>
          <w:sz w:val="24"/>
          <w:szCs w:val="24"/>
          <w:lang w:eastAsia="en-AU"/>
        </w:rPr>
      </w:pPr>
      <w:r w:rsidRPr="0038665F">
        <w:rPr>
          <w:rFonts w:eastAsia="Times New Roman" w:cs="Arial"/>
          <w:sz w:val="24"/>
          <w:szCs w:val="24"/>
          <w:lang w:eastAsia="en-AU"/>
        </w:rPr>
        <w:t>P</w:t>
      </w:r>
      <w:r w:rsidR="004A0218" w:rsidRPr="0038665F">
        <w:rPr>
          <w:rFonts w:eastAsia="Times New Roman" w:cs="Arial"/>
          <w:sz w:val="24"/>
          <w:szCs w:val="24"/>
          <w:lang w:eastAsia="en-AU"/>
        </w:rPr>
        <w:t>rocurement of a politically sensitive nature, regardless of value;</w:t>
      </w:r>
    </w:p>
    <w:p w14:paraId="25606AF1" w14:textId="7CE3F132" w:rsidR="004A0218" w:rsidRPr="0038665F" w:rsidRDefault="009A1261" w:rsidP="004A0218">
      <w:pPr>
        <w:pStyle w:val="ListParagraph"/>
        <w:numPr>
          <w:ilvl w:val="0"/>
          <w:numId w:val="118"/>
        </w:numPr>
        <w:jc w:val="both"/>
        <w:rPr>
          <w:rFonts w:eastAsia="Times New Roman" w:cs="Arial"/>
          <w:sz w:val="24"/>
          <w:szCs w:val="24"/>
          <w:lang w:eastAsia="en-AU"/>
        </w:rPr>
      </w:pPr>
      <w:r w:rsidRPr="0038665F">
        <w:rPr>
          <w:rFonts w:eastAsia="Times New Roman" w:cs="Arial"/>
          <w:sz w:val="24"/>
          <w:szCs w:val="24"/>
          <w:lang w:eastAsia="en-AU"/>
        </w:rPr>
        <w:t>P</w:t>
      </w:r>
      <w:r w:rsidR="004A0218" w:rsidRPr="0038665F">
        <w:rPr>
          <w:rFonts w:eastAsia="Times New Roman" w:cs="Arial"/>
          <w:sz w:val="24"/>
          <w:szCs w:val="24"/>
          <w:lang w:eastAsia="en-AU"/>
        </w:rPr>
        <w:t>rocurement that would commit a newly elected Council to significant or ongoing expenditure;</w:t>
      </w:r>
    </w:p>
    <w:p w14:paraId="7EF35B44" w14:textId="4FA915C8" w:rsidR="004A0218" w:rsidRPr="0038665F" w:rsidRDefault="009A1261" w:rsidP="004A0218">
      <w:pPr>
        <w:pStyle w:val="ListParagraph"/>
        <w:numPr>
          <w:ilvl w:val="0"/>
          <w:numId w:val="118"/>
        </w:numPr>
        <w:jc w:val="both"/>
        <w:rPr>
          <w:rFonts w:eastAsia="Times New Roman" w:cs="Arial"/>
          <w:sz w:val="24"/>
          <w:szCs w:val="24"/>
          <w:lang w:eastAsia="en-AU"/>
        </w:rPr>
      </w:pPr>
      <w:r w:rsidRPr="0038665F">
        <w:rPr>
          <w:rFonts w:eastAsia="Times New Roman" w:cs="Arial"/>
          <w:sz w:val="24"/>
          <w:szCs w:val="24"/>
          <w:lang w:eastAsia="en-AU"/>
        </w:rPr>
        <w:t>M</w:t>
      </w:r>
      <w:r w:rsidR="004A0218" w:rsidRPr="0038665F">
        <w:rPr>
          <w:rFonts w:eastAsia="Times New Roman" w:cs="Arial"/>
          <w:sz w:val="24"/>
          <w:szCs w:val="24"/>
          <w:lang w:eastAsia="en-AU"/>
        </w:rPr>
        <w:t>ajor procurement requiring a Council resolution during the caretaker period;</w:t>
      </w:r>
    </w:p>
    <w:p w14:paraId="590136FD" w14:textId="77777777" w:rsidR="004A0218" w:rsidRPr="0038665F" w:rsidRDefault="004A0218" w:rsidP="004A0218">
      <w:pPr>
        <w:pStyle w:val="ListParagraph"/>
        <w:numPr>
          <w:ilvl w:val="0"/>
          <w:numId w:val="118"/>
        </w:numPr>
        <w:jc w:val="both"/>
        <w:rPr>
          <w:rFonts w:eastAsia="Times New Roman" w:cs="Arial"/>
          <w:sz w:val="24"/>
          <w:szCs w:val="24"/>
          <w:lang w:eastAsia="en-AU"/>
        </w:rPr>
      </w:pPr>
      <w:r w:rsidRPr="0038665F">
        <w:rPr>
          <w:rFonts w:eastAsia="Times New Roman" w:cs="Arial"/>
          <w:sz w:val="24"/>
          <w:szCs w:val="24"/>
          <w:lang w:eastAsia="en-AU"/>
        </w:rPr>
        <w:t>procurement that could reasonably be perceived as election</w:t>
      </w:r>
      <w:r w:rsidRPr="0038665F">
        <w:rPr>
          <w:rFonts w:ascii="Cambria Math" w:eastAsia="Times New Roman" w:hAnsi="Cambria Math" w:cs="Cambria Math"/>
          <w:sz w:val="24"/>
          <w:szCs w:val="24"/>
          <w:lang w:eastAsia="en-AU"/>
        </w:rPr>
        <w:t>‑</w:t>
      </w:r>
      <w:r w:rsidRPr="0038665F">
        <w:rPr>
          <w:rFonts w:eastAsia="Times New Roman" w:cs="Arial"/>
          <w:sz w:val="24"/>
          <w:szCs w:val="24"/>
          <w:lang w:eastAsia="en-AU"/>
        </w:rPr>
        <w:t>related or politically motivated;</w:t>
      </w:r>
    </w:p>
    <w:p w14:paraId="1EA76858" w14:textId="24B574FF" w:rsidR="004A0218" w:rsidRPr="0038665F" w:rsidRDefault="009A1261" w:rsidP="004A0218">
      <w:pPr>
        <w:pStyle w:val="ListParagraph"/>
        <w:numPr>
          <w:ilvl w:val="0"/>
          <w:numId w:val="118"/>
        </w:numPr>
        <w:jc w:val="both"/>
        <w:rPr>
          <w:rFonts w:eastAsia="Times New Roman" w:cs="Arial"/>
          <w:sz w:val="24"/>
          <w:szCs w:val="24"/>
          <w:lang w:eastAsia="en-AU"/>
        </w:rPr>
      </w:pPr>
      <w:r w:rsidRPr="0038665F">
        <w:rPr>
          <w:rFonts w:eastAsia="Times New Roman" w:cs="Arial"/>
          <w:sz w:val="24"/>
          <w:szCs w:val="24"/>
          <w:lang w:eastAsia="en-AU"/>
        </w:rPr>
        <w:t>P</w:t>
      </w:r>
      <w:r w:rsidR="004A0218" w:rsidRPr="0038665F">
        <w:rPr>
          <w:rFonts w:eastAsia="Times New Roman" w:cs="Arial"/>
          <w:sz w:val="24"/>
          <w:szCs w:val="24"/>
          <w:lang w:eastAsia="en-AU"/>
        </w:rPr>
        <w:t>rocurement activities announced or publicised in a manner that could advantage or disadvantage electoral candidates; and</w:t>
      </w:r>
    </w:p>
    <w:p w14:paraId="175AC90B" w14:textId="60561E38" w:rsidR="004A0218" w:rsidRPr="0038665F" w:rsidRDefault="009A1261" w:rsidP="004A0218">
      <w:pPr>
        <w:pStyle w:val="ListParagraph"/>
        <w:numPr>
          <w:ilvl w:val="0"/>
          <w:numId w:val="118"/>
        </w:numPr>
        <w:jc w:val="both"/>
        <w:rPr>
          <w:rFonts w:eastAsia="Times New Roman" w:cs="Arial"/>
          <w:sz w:val="24"/>
          <w:szCs w:val="24"/>
          <w:lang w:eastAsia="en-AU"/>
        </w:rPr>
      </w:pPr>
      <w:r w:rsidRPr="0038665F">
        <w:rPr>
          <w:rFonts w:eastAsia="Times New Roman" w:cs="Arial"/>
          <w:sz w:val="24"/>
          <w:szCs w:val="24"/>
          <w:lang w:eastAsia="en-AU"/>
        </w:rPr>
        <w:t>S</w:t>
      </w:r>
      <w:r w:rsidR="004A0218" w:rsidRPr="0038665F">
        <w:rPr>
          <w:rFonts w:eastAsia="Times New Roman" w:cs="Arial"/>
          <w:sz w:val="24"/>
          <w:szCs w:val="24"/>
          <w:lang w:eastAsia="en-AU"/>
        </w:rPr>
        <w:t>ignificant changes to procurement policy or processes.</w:t>
      </w:r>
    </w:p>
    <w:p w14:paraId="674BB631" w14:textId="77777777" w:rsidR="004A0218" w:rsidRPr="0038665F" w:rsidRDefault="004A0218" w:rsidP="00A324D3">
      <w:pPr>
        <w:ind w:left="425"/>
        <w:jc w:val="both"/>
        <w:rPr>
          <w:sz w:val="24"/>
          <w:szCs w:val="24"/>
        </w:rPr>
      </w:pPr>
      <w:r w:rsidRPr="0038665F">
        <w:rPr>
          <w:sz w:val="24"/>
          <w:szCs w:val="24"/>
        </w:rPr>
        <w:t>Where procurement is undertaken during the caretaker period, Council must ensure that the reasons for proceeding are clearly recorded, consistent with delegated authority, and aligned with this Policy.</w:t>
      </w:r>
    </w:p>
    <w:p w14:paraId="4B11221C" w14:textId="6F526ED2" w:rsidR="00EE31C3" w:rsidRPr="002C7F3A" w:rsidRDefault="00E30A28" w:rsidP="00EE31C3">
      <w:pPr>
        <w:pStyle w:val="proc1"/>
        <w:numPr>
          <w:ilvl w:val="1"/>
          <w:numId w:val="11"/>
        </w:numPr>
        <w:rPr>
          <w:sz w:val="28"/>
          <w:szCs w:val="28"/>
        </w:rPr>
      </w:pPr>
      <w:bookmarkStart w:id="185" w:name="_Toc240536449"/>
      <w:r w:rsidRPr="002C7F3A">
        <w:rPr>
          <w:sz w:val="28"/>
          <w:szCs w:val="28"/>
        </w:rPr>
        <w:t>Digital Systems, ERP and Cyber Risk</w:t>
      </w:r>
      <w:bookmarkEnd w:id="185"/>
    </w:p>
    <w:p w14:paraId="30B91E47" w14:textId="12A594E7" w:rsidR="00B179BA" w:rsidRPr="0038665F" w:rsidRDefault="00B179BA" w:rsidP="00B179BA">
      <w:pPr>
        <w:pStyle w:val="Body"/>
        <w:spacing w:after="240" w:line="233" w:lineRule="auto"/>
        <w:ind w:left="567"/>
        <w:rPr>
          <w:rFonts w:ascii="Arial" w:hAnsi="Arial"/>
          <w:sz w:val="24"/>
          <w:szCs w:val="24"/>
          <w:lang w:val="en-AU" w:eastAsia="en-AU"/>
        </w:rPr>
      </w:pPr>
      <w:r w:rsidRPr="0038665F">
        <w:rPr>
          <w:rFonts w:ascii="Arial" w:hAnsi="Arial"/>
          <w:sz w:val="24"/>
          <w:szCs w:val="24"/>
          <w:lang w:val="en-AU" w:eastAsia="en-AU"/>
        </w:rPr>
        <w:t>Council is investing in a comprehensive digital transformation program, including the procurement and implementation of a new Enterprise Resource Planning (ERP) system. These procurements are among the most complex and highest-risk Council will undertake, they involve long contract terms, high switching costs, significant data security obligations, and dependency on third-party vendors.</w:t>
      </w:r>
    </w:p>
    <w:p w14:paraId="48CB5FF6" w14:textId="77777777" w:rsidR="00B179BA" w:rsidRPr="0038665F" w:rsidRDefault="00B179BA" w:rsidP="00B179BA">
      <w:pPr>
        <w:pStyle w:val="Body"/>
        <w:spacing w:after="240"/>
        <w:ind w:left="567"/>
        <w:rPr>
          <w:rFonts w:ascii="Arial" w:hAnsi="Arial"/>
          <w:sz w:val="24"/>
          <w:szCs w:val="24"/>
        </w:rPr>
      </w:pPr>
      <w:r w:rsidRPr="0038665F">
        <w:rPr>
          <w:rFonts w:ascii="Arial" w:hAnsi="Arial"/>
          <w:sz w:val="24"/>
          <w:szCs w:val="24"/>
        </w:rPr>
        <w:t>All direct technology and digital services procurement, or arrangement where a third party is granted access to Council's technology environment, systems, or information, must comply with this Policy and must specifically address</w:t>
      </w:r>
      <w:r w:rsidRPr="0038665F">
        <w:rPr>
          <w:rFonts w:ascii="Arial" w:hAnsi="Arial"/>
          <w:sz w:val="24"/>
          <w:szCs w:val="24"/>
          <w:lang w:val="en-AU" w:eastAsia="en-AU"/>
        </w:rPr>
        <w:t>:</w:t>
      </w:r>
    </w:p>
    <w:p w14:paraId="3D2D35DC" w14:textId="77777777" w:rsidR="00B179BA" w:rsidRPr="0038665F" w:rsidRDefault="00B179BA" w:rsidP="00B179BA">
      <w:pPr>
        <w:pStyle w:val="ListParagraph"/>
        <w:numPr>
          <w:ilvl w:val="0"/>
          <w:numId w:val="113"/>
        </w:numPr>
        <w:jc w:val="both"/>
        <w:rPr>
          <w:rFonts w:eastAsia="Times New Roman" w:cs="Arial"/>
          <w:sz w:val="24"/>
          <w:szCs w:val="24"/>
          <w:lang w:eastAsia="en-AU"/>
        </w:rPr>
      </w:pPr>
      <w:r w:rsidRPr="0038665F">
        <w:rPr>
          <w:rFonts w:eastAsia="Times New Roman" w:cs="Arial"/>
          <w:sz w:val="24"/>
          <w:szCs w:val="24"/>
          <w:lang w:eastAsia="en-AU"/>
        </w:rPr>
        <w:t xml:space="preserve">cyber security requirements and the supplier’s security credentials; </w:t>
      </w:r>
    </w:p>
    <w:p w14:paraId="0A781C6E" w14:textId="77777777" w:rsidR="00B179BA" w:rsidRPr="0038665F" w:rsidRDefault="00B179BA" w:rsidP="00B179BA">
      <w:pPr>
        <w:pStyle w:val="ListParagraph"/>
        <w:numPr>
          <w:ilvl w:val="0"/>
          <w:numId w:val="113"/>
        </w:numPr>
        <w:jc w:val="both"/>
        <w:rPr>
          <w:rFonts w:eastAsia="Times New Roman" w:cs="Arial"/>
          <w:sz w:val="24"/>
          <w:szCs w:val="24"/>
          <w:lang w:eastAsia="en-AU"/>
        </w:rPr>
      </w:pPr>
      <w:r w:rsidRPr="0038665F">
        <w:rPr>
          <w:rFonts w:eastAsia="Times New Roman" w:cs="Arial"/>
          <w:sz w:val="24"/>
          <w:szCs w:val="24"/>
          <w:lang w:eastAsia="en-AU"/>
        </w:rPr>
        <w:t xml:space="preserve">data sovereignty and privacy obligations; </w:t>
      </w:r>
    </w:p>
    <w:p w14:paraId="3CE763D4" w14:textId="77777777" w:rsidR="00B179BA" w:rsidRPr="0038665F" w:rsidRDefault="00B179BA" w:rsidP="00B179BA">
      <w:pPr>
        <w:pStyle w:val="ListParagraph"/>
        <w:numPr>
          <w:ilvl w:val="0"/>
          <w:numId w:val="113"/>
        </w:numPr>
        <w:jc w:val="both"/>
        <w:rPr>
          <w:rFonts w:eastAsia="Times New Roman" w:cs="Arial"/>
          <w:sz w:val="24"/>
          <w:szCs w:val="24"/>
          <w:lang w:eastAsia="en-AU"/>
        </w:rPr>
      </w:pPr>
      <w:r w:rsidRPr="0038665F">
        <w:rPr>
          <w:rFonts w:eastAsia="Times New Roman" w:cs="Arial"/>
          <w:sz w:val="24"/>
          <w:szCs w:val="24"/>
          <w:lang w:eastAsia="en-AU"/>
        </w:rPr>
        <w:t xml:space="preserve">exit and transition provisions to manage switching risk; </w:t>
      </w:r>
    </w:p>
    <w:p w14:paraId="13ED9AE1" w14:textId="77777777" w:rsidR="00B179BA" w:rsidRPr="0038665F" w:rsidRDefault="00B179BA" w:rsidP="00B179BA">
      <w:pPr>
        <w:pStyle w:val="ListParagraph"/>
        <w:numPr>
          <w:ilvl w:val="0"/>
          <w:numId w:val="113"/>
        </w:numPr>
        <w:jc w:val="both"/>
        <w:rPr>
          <w:rFonts w:eastAsia="Times New Roman" w:cs="Arial"/>
          <w:sz w:val="24"/>
          <w:szCs w:val="24"/>
          <w:lang w:eastAsia="en-AU"/>
        </w:rPr>
      </w:pPr>
      <w:r w:rsidRPr="0038665F">
        <w:rPr>
          <w:rFonts w:eastAsia="Times New Roman" w:cs="Arial"/>
          <w:sz w:val="24"/>
          <w:szCs w:val="24"/>
          <w:lang w:eastAsia="en-AU"/>
        </w:rPr>
        <w:t xml:space="preserve">and ongoing vendor performance management obligations. </w:t>
      </w:r>
    </w:p>
    <w:p w14:paraId="54D49B7F" w14:textId="01484BAD" w:rsidR="00B179BA" w:rsidRPr="0038665F" w:rsidRDefault="00B179BA" w:rsidP="007822A5">
      <w:pPr>
        <w:ind w:left="567"/>
        <w:jc w:val="both"/>
        <w:rPr>
          <w:sz w:val="24"/>
          <w:szCs w:val="24"/>
        </w:rPr>
      </w:pPr>
      <w:r w:rsidRPr="0038665F">
        <w:rPr>
          <w:sz w:val="24"/>
          <w:szCs w:val="24"/>
        </w:rPr>
        <w:t>This includes, but is not limited to, access to Council network and systems, end-user devices, built environments where official documents or information are accessible, physical access credentials (e.g., swipe cards, keys), and data sharing or integration arrangements.</w:t>
      </w:r>
    </w:p>
    <w:p w14:paraId="698F2136" w14:textId="399AC36F" w:rsidR="00B179BA" w:rsidRPr="0038665F" w:rsidRDefault="00B179BA" w:rsidP="007822A5">
      <w:pPr>
        <w:ind w:left="567"/>
        <w:jc w:val="both"/>
        <w:rPr>
          <w:b/>
          <w:bCs/>
          <w:sz w:val="24"/>
          <w:szCs w:val="24"/>
        </w:rPr>
      </w:pPr>
      <w:r w:rsidRPr="0038665F">
        <w:rPr>
          <w:b/>
          <w:bCs/>
          <w:sz w:val="24"/>
          <w:szCs w:val="24"/>
        </w:rPr>
        <w:t>Information and Access Obligations</w:t>
      </w:r>
    </w:p>
    <w:p w14:paraId="32FA07A2" w14:textId="77777777" w:rsidR="00B179BA" w:rsidRPr="0038665F" w:rsidRDefault="00B179BA" w:rsidP="00B179BA">
      <w:pPr>
        <w:ind w:left="567"/>
        <w:jc w:val="both"/>
        <w:rPr>
          <w:sz w:val="24"/>
          <w:szCs w:val="24"/>
        </w:rPr>
      </w:pPr>
      <w:r w:rsidRPr="0038665F">
        <w:rPr>
          <w:sz w:val="24"/>
          <w:szCs w:val="24"/>
        </w:rPr>
        <w:t>Where a procurement or third-party arrangement involves access to Council's information, data, or technology systems, a Privacy Impact Assessment (PIA) and Security Requirements Assessment must be completed prior to market engagement and included as part of the request to the relevant approving Officer. These assessments ensure that privacy, data protection, and security obligations including the </w:t>
      </w:r>
      <w:r w:rsidRPr="0038665F">
        <w:rPr>
          <w:i/>
          <w:iCs/>
          <w:sz w:val="24"/>
          <w:szCs w:val="24"/>
        </w:rPr>
        <w:t>Privacy and Data Protection Act 2014</w:t>
      </w:r>
      <w:r w:rsidRPr="0038665F">
        <w:rPr>
          <w:sz w:val="24"/>
          <w:szCs w:val="24"/>
        </w:rPr>
        <w:t> (Vic) and supporting Victorian Protective Data Security Framework (VPDSF) are identified early and addressed through procurement conditions and contract terms.</w:t>
      </w:r>
    </w:p>
    <w:p w14:paraId="4FD32300" w14:textId="1C75453E" w:rsidR="00B179BA" w:rsidRPr="0038665F" w:rsidRDefault="00B179BA" w:rsidP="007822A5">
      <w:pPr>
        <w:ind w:left="567"/>
        <w:jc w:val="both"/>
        <w:rPr>
          <w:sz w:val="24"/>
          <w:szCs w:val="24"/>
        </w:rPr>
      </w:pPr>
      <w:r w:rsidRPr="0038665F">
        <w:rPr>
          <w:sz w:val="24"/>
          <w:szCs w:val="24"/>
        </w:rPr>
        <w:t>In many cases, these assessments will identify low risk scenarios that are adequately managed through Council's standard procurement controls and contractual provisions. However, the completion of these assessments is essential to confirm that position and to identify any procurement where elevated risk requires additional controls, specialist input, or executive oversight is required.</w:t>
      </w:r>
    </w:p>
    <w:p w14:paraId="2E77F57A" w14:textId="6C633680" w:rsidR="00EE31C3" w:rsidRPr="0038665F" w:rsidRDefault="00B179BA" w:rsidP="00F56F23">
      <w:pPr>
        <w:ind w:left="567"/>
        <w:jc w:val="both"/>
        <w:rPr>
          <w:sz w:val="24"/>
          <w:szCs w:val="24"/>
        </w:rPr>
      </w:pPr>
      <w:r w:rsidRPr="0038665F">
        <w:rPr>
          <w:sz w:val="24"/>
          <w:szCs w:val="24"/>
        </w:rPr>
        <w:t>The Procurement Manual provides specific guidance for technology procurement. Officers must engage the Procurement team early for any technology purchases.</w:t>
      </w:r>
    </w:p>
    <w:p w14:paraId="5D6E8B6E" w14:textId="2C3E33EB" w:rsidR="00BC796C" w:rsidRPr="002C7F3A" w:rsidRDefault="00BC796C" w:rsidP="009F1E3B">
      <w:pPr>
        <w:pStyle w:val="proc1"/>
        <w:numPr>
          <w:ilvl w:val="1"/>
          <w:numId w:val="11"/>
        </w:numPr>
        <w:rPr>
          <w:sz w:val="28"/>
          <w:szCs w:val="28"/>
        </w:rPr>
      </w:pPr>
      <w:bookmarkStart w:id="186" w:name="_Toc227674552"/>
      <w:bookmarkStart w:id="187" w:name="_Toc227674679"/>
      <w:bookmarkStart w:id="188" w:name="_Toc227674816"/>
      <w:bookmarkStart w:id="189" w:name="_Toc227674951"/>
      <w:bookmarkStart w:id="190" w:name="_Toc227675088"/>
      <w:bookmarkStart w:id="191" w:name="_Toc227675225"/>
      <w:bookmarkStart w:id="192" w:name="_Toc227675362"/>
      <w:bookmarkStart w:id="193" w:name="_Toc227675499"/>
      <w:bookmarkStart w:id="194" w:name="_Toc227675636"/>
      <w:bookmarkStart w:id="195" w:name="_Toc227675774"/>
      <w:bookmarkStart w:id="196" w:name="_Toc227675908"/>
      <w:bookmarkStart w:id="197" w:name="_Toc227674553"/>
      <w:bookmarkStart w:id="198" w:name="_Toc227674680"/>
      <w:bookmarkStart w:id="199" w:name="_Toc227674817"/>
      <w:bookmarkStart w:id="200" w:name="_Toc227674952"/>
      <w:bookmarkStart w:id="201" w:name="_Toc227675089"/>
      <w:bookmarkStart w:id="202" w:name="_Toc227675226"/>
      <w:bookmarkStart w:id="203" w:name="_Toc227675363"/>
      <w:bookmarkStart w:id="204" w:name="_Toc227675500"/>
      <w:bookmarkStart w:id="205" w:name="_Toc227675637"/>
      <w:bookmarkStart w:id="206" w:name="_Toc227675775"/>
      <w:bookmarkStart w:id="207" w:name="_Toc227675909"/>
      <w:bookmarkStart w:id="208" w:name="_Toc227674554"/>
      <w:bookmarkStart w:id="209" w:name="_Toc227674681"/>
      <w:bookmarkStart w:id="210" w:name="_Toc227674818"/>
      <w:bookmarkStart w:id="211" w:name="_Toc227674953"/>
      <w:bookmarkStart w:id="212" w:name="_Toc227675090"/>
      <w:bookmarkStart w:id="213" w:name="_Toc227675227"/>
      <w:bookmarkStart w:id="214" w:name="_Toc227675364"/>
      <w:bookmarkStart w:id="215" w:name="_Toc227675501"/>
      <w:bookmarkStart w:id="216" w:name="_Toc227675638"/>
      <w:bookmarkStart w:id="217" w:name="_Toc227675776"/>
      <w:bookmarkStart w:id="218" w:name="_Toc227675910"/>
      <w:bookmarkStart w:id="219" w:name="_Toc240536450"/>
      <w:bookmarkStart w:id="220" w:name="_Toc84884777"/>
      <w:bookmarkStart w:id="221" w:name="_Toc85461563"/>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sidRPr="002C7F3A">
        <w:rPr>
          <w:sz w:val="28"/>
          <w:szCs w:val="28"/>
        </w:rPr>
        <w:t>Policy Non-Compliance</w:t>
      </w:r>
      <w:bookmarkEnd w:id="219"/>
    </w:p>
    <w:p w14:paraId="08CCDF61" w14:textId="70604DEF" w:rsidR="005C3F84" w:rsidRPr="0038665F" w:rsidRDefault="00426CB6" w:rsidP="007C29F9">
      <w:pPr>
        <w:spacing w:after="240"/>
        <w:ind w:left="425"/>
        <w:jc w:val="both"/>
        <w:rPr>
          <w:sz w:val="24"/>
          <w:szCs w:val="24"/>
        </w:rPr>
      </w:pPr>
      <w:r w:rsidRPr="0038665F">
        <w:rPr>
          <w:sz w:val="24"/>
          <w:szCs w:val="24"/>
        </w:rPr>
        <w:t>Non</w:t>
      </w:r>
      <w:r w:rsidRPr="0038665F">
        <w:rPr>
          <w:rFonts w:ascii="Cambria Math" w:hAnsi="Cambria Math" w:cs="Cambria Math"/>
          <w:sz w:val="24"/>
          <w:szCs w:val="24"/>
        </w:rPr>
        <w:t>‑</w:t>
      </w:r>
      <w:r w:rsidRPr="0038665F">
        <w:rPr>
          <w:sz w:val="24"/>
          <w:szCs w:val="24"/>
        </w:rPr>
        <w:t>compliance with this Procurement Policy may result in a breach of legislative requirements and may lead to disciplinary action, up to and including termination of employment. Where non</w:t>
      </w:r>
      <w:r w:rsidRPr="0038665F">
        <w:rPr>
          <w:rFonts w:ascii="Cambria Math" w:hAnsi="Cambria Math" w:cs="Cambria Math"/>
          <w:sz w:val="24"/>
          <w:szCs w:val="24"/>
        </w:rPr>
        <w:t>‑</w:t>
      </w:r>
      <w:r w:rsidRPr="0038665F">
        <w:rPr>
          <w:sz w:val="24"/>
          <w:szCs w:val="24"/>
        </w:rPr>
        <w:t>compliance involves fraud, corruption or other serious misconduct, Council adopts a zero</w:t>
      </w:r>
      <w:r w:rsidRPr="0038665F">
        <w:rPr>
          <w:rFonts w:ascii="Cambria Math" w:hAnsi="Cambria Math" w:cs="Cambria Math"/>
          <w:sz w:val="24"/>
          <w:szCs w:val="24"/>
        </w:rPr>
        <w:t>‑</w:t>
      </w:r>
      <w:r w:rsidRPr="0038665F">
        <w:rPr>
          <w:sz w:val="24"/>
          <w:szCs w:val="24"/>
        </w:rPr>
        <w:t xml:space="preserve">tolerance </w:t>
      </w:r>
      <w:r w:rsidR="00692752" w:rsidRPr="0038665F">
        <w:rPr>
          <w:sz w:val="24"/>
          <w:szCs w:val="24"/>
        </w:rPr>
        <w:t>approach and</w:t>
      </w:r>
      <w:r w:rsidRPr="0038665F">
        <w:rPr>
          <w:sz w:val="24"/>
          <w:szCs w:val="24"/>
        </w:rPr>
        <w:t xml:space="preserve"> </w:t>
      </w:r>
      <w:r w:rsidR="00C50B44" w:rsidRPr="0038665F">
        <w:rPr>
          <w:sz w:val="24"/>
          <w:szCs w:val="24"/>
        </w:rPr>
        <w:t xml:space="preserve">will refer any of these instances to </w:t>
      </w:r>
      <w:r w:rsidR="00C5559F" w:rsidRPr="0038665F">
        <w:rPr>
          <w:sz w:val="24"/>
          <w:szCs w:val="24"/>
        </w:rPr>
        <w:t>relevant authorities</w:t>
      </w:r>
      <w:r w:rsidR="007822A5" w:rsidRPr="0038665F">
        <w:rPr>
          <w:sz w:val="24"/>
          <w:szCs w:val="24"/>
        </w:rPr>
        <w:t>.</w:t>
      </w:r>
    </w:p>
    <w:p w14:paraId="61ABF336" w14:textId="14E7084F" w:rsidR="00694501" w:rsidRPr="002C7F3A" w:rsidRDefault="00694501" w:rsidP="009F1E3B">
      <w:pPr>
        <w:pStyle w:val="proc1"/>
        <w:numPr>
          <w:ilvl w:val="1"/>
          <w:numId w:val="11"/>
        </w:numPr>
        <w:rPr>
          <w:sz w:val="28"/>
          <w:szCs w:val="28"/>
        </w:rPr>
      </w:pPr>
      <w:bookmarkStart w:id="222" w:name="_Toc227674556"/>
      <w:bookmarkStart w:id="223" w:name="_Toc227674683"/>
      <w:bookmarkStart w:id="224" w:name="_Toc227674820"/>
      <w:bookmarkStart w:id="225" w:name="_Toc227674955"/>
      <w:bookmarkStart w:id="226" w:name="_Toc227675092"/>
      <w:bookmarkStart w:id="227" w:name="_Toc227675229"/>
      <w:bookmarkStart w:id="228" w:name="_Toc227675366"/>
      <w:bookmarkStart w:id="229" w:name="_Toc227675503"/>
      <w:bookmarkStart w:id="230" w:name="_Toc227675640"/>
      <w:bookmarkStart w:id="231" w:name="_Toc227675778"/>
      <w:bookmarkStart w:id="232" w:name="_Toc227675912"/>
      <w:bookmarkStart w:id="233" w:name="_Toc227674557"/>
      <w:bookmarkStart w:id="234" w:name="_Toc227674684"/>
      <w:bookmarkStart w:id="235" w:name="_Toc227674821"/>
      <w:bookmarkStart w:id="236" w:name="_Toc227674956"/>
      <w:bookmarkStart w:id="237" w:name="_Toc227675093"/>
      <w:bookmarkStart w:id="238" w:name="_Toc227675230"/>
      <w:bookmarkStart w:id="239" w:name="_Toc227675367"/>
      <w:bookmarkStart w:id="240" w:name="_Toc227675504"/>
      <w:bookmarkStart w:id="241" w:name="_Toc227675641"/>
      <w:bookmarkStart w:id="242" w:name="_Toc227675779"/>
      <w:bookmarkStart w:id="243" w:name="_Toc227675913"/>
      <w:bookmarkStart w:id="244" w:name="_Toc227674558"/>
      <w:bookmarkStart w:id="245" w:name="_Toc227674685"/>
      <w:bookmarkStart w:id="246" w:name="_Toc227674822"/>
      <w:bookmarkStart w:id="247" w:name="_Toc227674957"/>
      <w:bookmarkStart w:id="248" w:name="_Toc227675094"/>
      <w:bookmarkStart w:id="249" w:name="_Toc227675231"/>
      <w:bookmarkStart w:id="250" w:name="_Toc227675368"/>
      <w:bookmarkStart w:id="251" w:name="_Toc227675505"/>
      <w:bookmarkStart w:id="252" w:name="_Toc227675642"/>
      <w:bookmarkStart w:id="253" w:name="_Toc227675780"/>
      <w:bookmarkStart w:id="254" w:name="_Toc227675914"/>
      <w:bookmarkStart w:id="255" w:name="_Toc227674559"/>
      <w:bookmarkStart w:id="256" w:name="_Toc227674686"/>
      <w:bookmarkStart w:id="257" w:name="_Toc227674823"/>
      <w:bookmarkStart w:id="258" w:name="_Toc227674958"/>
      <w:bookmarkStart w:id="259" w:name="_Toc227675095"/>
      <w:bookmarkStart w:id="260" w:name="_Toc227675232"/>
      <w:bookmarkStart w:id="261" w:name="_Toc227675369"/>
      <w:bookmarkStart w:id="262" w:name="_Toc227675506"/>
      <w:bookmarkStart w:id="263" w:name="_Toc227675643"/>
      <w:bookmarkStart w:id="264" w:name="_Toc227675781"/>
      <w:bookmarkStart w:id="265" w:name="_Toc227675915"/>
      <w:bookmarkStart w:id="266" w:name="_Toc227674560"/>
      <w:bookmarkStart w:id="267" w:name="_Toc227674687"/>
      <w:bookmarkStart w:id="268" w:name="_Toc227674824"/>
      <w:bookmarkStart w:id="269" w:name="_Toc227674959"/>
      <w:bookmarkStart w:id="270" w:name="_Toc227675096"/>
      <w:bookmarkStart w:id="271" w:name="_Toc227675233"/>
      <w:bookmarkStart w:id="272" w:name="_Toc227675370"/>
      <w:bookmarkStart w:id="273" w:name="_Toc227675507"/>
      <w:bookmarkStart w:id="274" w:name="_Toc227675644"/>
      <w:bookmarkStart w:id="275" w:name="_Toc227675782"/>
      <w:bookmarkStart w:id="276" w:name="_Toc227675916"/>
      <w:bookmarkStart w:id="277" w:name="_Toc227674561"/>
      <w:bookmarkStart w:id="278" w:name="_Toc227674688"/>
      <w:bookmarkStart w:id="279" w:name="_Toc227674825"/>
      <w:bookmarkStart w:id="280" w:name="_Toc227674960"/>
      <w:bookmarkStart w:id="281" w:name="_Toc227675097"/>
      <w:bookmarkStart w:id="282" w:name="_Toc227675234"/>
      <w:bookmarkStart w:id="283" w:name="_Toc227675371"/>
      <w:bookmarkStart w:id="284" w:name="_Toc227675508"/>
      <w:bookmarkStart w:id="285" w:name="_Toc227675645"/>
      <w:bookmarkStart w:id="286" w:name="_Toc227675783"/>
      <w:bookmarkStart w:id="287" w:name="_Toc227675917"/>
      <w:bookmarkStart w:id="288" w:name="_Toc227674562"/>
      <w:bookmarkStart w:id="289" w:name="_Toc227674689"/>
      <w:bookmarkStart w:id="290" w:name="_Toc227674826"/>
      <w:bookmarkStart w:id="291" w:name="_Toc227674961"/>
      <w:bookmarkStart w:id="292" w:name="_Toc227675098"/>
      <w:bookmarkStart w:id="293" w:name="_Toc227675235"/>
      <w:bookmarkStart w:id="294" w:name="_Toc227675372"/>
      <w:bookmarkStart w:id="295" w:name="_Toc227675509"/>
      <w:bookmarkStart w:id="296" w:name="_Toc227675646"/>
      <w:bookmarkStart w:id="297" w:name="_Toc227675784"/>
      <w:bookmarkStart w:id="298" w:name="_Toc227675918"/>
      <w:bookmarkStart w:id="299" w:name="_Toc227674563"/>
      <w:bookmarkStart w:id="300" w:name="_Toc227674690"/>
      <w:bookmarkStart w:id="301" w:name="_Toc227674827"/>
      <w:bookmarkStart w:id="302" w:name="_Toc227674962"/>
      <w:bookmarkStart w:id="303" w:name="_Toc227675099"/>
      <w:bookmarkStart w:id="304" w:name="_Toc227675236"/>
      <w:bookmarkStart w:id="305" w:name="_Toc227675373"/>
      <w:bookmarkStart w:id="306" w:name="_Toc227675510"/>
      <w:bookmarkStart w:id="307" w:name="_Toc227675647"/>
      <w:bookmarkStart w:id="308" w:name="_Toc227675785"/>
      <w:bookmarkStart w:id="309" w:name="_Toc227675919"/>
      <w:bookmarkStart w:id="310" w:name="_Toc227674564"/>
      <w:bookmarkStart w:id="311" w:name="_Toc227674691"/>
      <w:bookmarkStart w:id="312" w:name="_Toc227674828"/>
      <w:bookmarkStart w:id="313" w:name="_Toc227674963"/>
      <w:bookmarkStart w:id="314" w:name="_Toc227675100"/>
      <w:bookmarkStart w:id="315" w:name="_Toc227675237"/>
      <w:bookmarkStart w:id="316" w:name="_Toc227675374"/>
      <w:bookmarkStart w:id="317" w:name="_Toc227675511"/>
      <w:bookmarkStart w:id="318" w:name="_Toc227675648"/>
      <w:bookmarkStart w:id="319" w:name="_Toc227675786"/>
      <w:bookmarkStart w:id="320" w:name="_Toc227675920"/>
      <w:bookmarkStart w:id="321" w:name="_Toc227674565"/>
      <w:bookmarkStart w:id="322" w:name="_Toc227674692"/>
      <w:bookmarkStart w:id="323" w:name="_Toc227674829"/>
      <w:bookmarkStart w:id="324" w:name="_Toc227674964"/>
      <w:bookmarkStart w:id="325" w:name="_Toc227675101"/>
      <w:bookmarkStart w:id="326" w:name="_Toc227675238"/>
      <w:bookmarkStart w:id="327" w:name="_Toc227675375"/>
      <w:bookmarkStart w:id="328" w:name="_Toc227675512"/>
      <w:bookmarkStart w:id="329" w:name="_Toc227675649"/>
      <w:bookmarkStart w:id="330" w:name="_Toc227675787"/>
      <w:bookmarkStart w:id="331" w:name="_Toc227675921"/>
      <w:bookmarkStart w:id="332" w:name="_Toc84884778"/>
      <w:bookmarkStart w:id="333" w:name="_Toc85461564"/>
      <w:bookmarkStart w:id="334" w:name="_Toc240536451"/>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sidRPr="002C7F3A">
        <w:rPr>
          <w:sz w:val="28"/>
          <w:szCs w:val="28"/>
        </w:rPr>
        <w:t>P</w:t>
      </w:r>
      <w:r w:rsidR="007A0539" w:rsidRPr="002C7F3A">
        <w:rPr>
          <w:sz w:val="28"/>
          <w:szCs w:val="28"/>
        </w:rPr>
        <w:t>olicy Review Process</w:t>
      </w:r>
      <w:bookmarkEnd w:id="332"/>
      <w:bookmarkEnd w:id="333"/>
      <w:bookmarkEnd w:id="334"/>
    </w:p>
    <w:p w14:paraId="1DD45E32" w14:textId="19901528" w:rsidR="007A0539" w:rsidRPr="0038665F" w:rsidRDefault="0040083C" w:rsidP="00A324D3">
      <w:pPr>
        <w:spacing w:after="240"/>
        <w:ind w:left="425"/>
        <w:jc w:val="both"/>
        <w:rPr>
          <w:sz w:val="24"/>
          <w:szCs w:val="24"/>
        </w:rPr>
      </w:pPr>
      <w:r w:rsidRPr="0038665F">
        <w:rPr>
          <w:sz w:val="24"/>
          <w:szCs w:val="24"/>
        </w:rPr>
        <w:t>In accordance with the Local Government Act 2020, Council will review this Procurement Policy at least once during each four</w:t>
      </w:r>
      <w:r w:rsidRPr="0038665F">
        <w:rPr>
          <w:rFonts w:ascii="Cambria Math" w:hAnsi="Cambria Math" w:cs="Cambria Math"/>
          <w:sz w:val="24"/>
          <w:szCs w:val="24"/>
        </w:rPr>
        <w:t>‑</w:t>
      </w:r>
      <w:r w:rsidRPr="0038665F">
        <w:rPr>
          <w:sz w:val="24"/>
          <w:szCs w:val="24"/>
        </w:rPr>
        <w:t>year term of Council or earlier where required due to changes in legislation, governance requirements or organisational circumstances.</w:t>
      </w:r>
    </w:p>
    <w:p w14:paraId="18C3E4D5" w14:textId="118CF8E0" w:rsidR="007C29F9" w:rsidRPr="0038665F" w:rsidRDefault="007C29F9" w:rsidP="00A324D3">
      <w:pPr>
        <w:spacing w:after="240"/>
        <w:ind w:left="425"/>
        <w:jc w:val="both"/>
        <w:rPr>
          <w:sz w:val="24"/>
          <w:szCs w:val="24"/>
        </w:rPr>
      </w:pPr>
      <w:r w:rsidRPr="0038665F">
        <w:rPr>
          <w:sz w:val="24"/>
          <w:szCs w:val="24"/>
        </w:rPr>
        <w:t>Any material amendment to this Policy must be approved by Council. The Chief Executive Officer may approve administrative or consequential amendments that do not alter the intent or substantive policy position of the Policy, including amendments required to reflect legislative, regulatory, organisational or administrative changes. Any such amendments will be reported to Council through the next available governance update.</w:t>
      </w:r>
    </w:p>
    <w:p w14:paraId="516845C0" w14:textId="31B62C1D" w:rsidR="007A0539" w:rsidRPr="002C7F3A" w:rsidRDefault="007A0539" w:rsidP="009F1E3B">
      <w:pPr>
        <w:pStyle w:val="proc1"/>
        <w:numPr>
          <w:ilvl w:val="1"/>
          <w:numId w:val="11"/>
        </w:numPr>
        <w:rPr>
          <w:sz w:val="28"/>
          <w:szCs w:val="28"/>
        </w:rPr>
      </w:pPr>
      <w:bookmarkStart w:id="335" w:name="_Toc240536452"/>
      <w:r w:rsidRPr="002C7F3A">
        <w:rPr>
          <w:sz w:val="28"/>
          <w:szCs w:val="28"/>
        </w:rPr>
        <w:t>Procurement Manual</w:t>
      </w:r>
      <w:bookmarkEnd w:id="335"/>
    </w:p>
    <w:p w14:paraId="1C9E3948" w14:textId="54EBEB85" w:rsidR="00694501" w:rsidRPr="0038665F" w:rsidRDefault="00694501" w:rsidP="00A324D3">
      <w:pPr>
        <w:spacing w:after="240"/>
        <w:ind w:left="425"/>
        <w:jc w:val="both"/>
        <w:rPr>
          <w:sz w:val="24"/>
          <w:szCs w:val="24"/>
        </w:rPr>
      </w:pPr>
      <w:r w:rsidRPr="0038665F">
        <w:rPr>
          <w:sz w:val="24"/>
          <w:szCs w:val="24"/>
        </w:rPr>
        <w:t xml:space="preserve">A Procurement Manual (the Manual) has been developed in line with the Procurement Policy and details the implementation of all relevant operational requirements. The Strategic Procurement Branch will maintain the Procurement Manual to ensure it aligns with updates to Policy and best practice principles.   The primary objective of the Manual is to provide guidance to staff on all operational aspects of procurement processes. Staff can access to the Manual via Council’s Intranet Procurement site.  </w:t>
      </w:r>
    </w:p>
    <w:p w14:paraId="430ECE89" w14:textId="77777777" w:rsidR="00694501" w:rsidRPr="002C7F3A" w:rsidRDefault="00694501" w:rsidP="009F1E3B">
      <w:pPr>
        <w:pStyle w:val="proc1"/>
        <w:numPr>
          <w:ilvl w:val="1"/>
          <w:numId w:val="11"/>
        </w:numPr>
        <w:rPr>
          <w:sz w:val="28"/>
          <w:szCs w:val="28"/>
        </w:rPr>
      </w:pPr>
      <w:bookmarkStart w:id="336" w:name="_Toc83970733"/>
      <w:bookmarkStart w:id="337" w:name="_Toc83970914"/>
      <w:bookmarkStart w:id="338" w:name="_Toc83970980"/>
      <w:bookmarkStart w:id="339" w:name="_Toc83971071"/>
      <w:bookmarkStart w:id="340" w:name="_Toc83971165"/>
      <w:bookmarkStart w:id="341" w:name="_Toc83971378"/>
      <w:bookmarkStart w:id="342" w:name="_Toc84884779"/>
      <w:bookmarkStart w:id="343" w:name="_Toc85461565"/>
      <w:bookmarkStart w:id="344" w:name="_Toc240536453"/>
      <w:bookmarkEnd w:id="336"/>
      <w:bookmarkEnd w:id="337"/>
      <w:bookmarkEnd w:id="338"/>
      <w:bookmarkEnd w:id="339"/>
      <w:bookmarkEnd w:id="340"/>
      <w:bookmarkEnd w:id="341"/>
      <w:r w:rsidRPr="002C7F3A">
        <w:rPr>
          <w:sz w:val="28"/>
          <w:szCs w:val="28"/>
        </w:rPr>
        <w:t>GST</w:t>
      </w:r>
      <w:bookmarkEnd w:id="342"/>
      <w:bookmarkEnd w:id="343"/>
      <w:bookmarkEnd w:id="344"/>
      <w:r w:rsidRPr="002C7F3A">
        <w:rPr>
          <w:sz w:val="28"/>
          <w:szCs w:val="28"/>
        </w:rPr>
        <w:t xml:space="preserve">  </w:t>
      </w:r>
    </w:p>
    <w:p w14:paraId="38772BEE" w14:textId="0E34575B" w:rsidR="00A2677F" w:rsidRPr="0038665F" w:rsidRDefault="00694501" w:rsidP="00B6619E">
      <w:pPr>
        <w:ind w:left="425"/>
        <w:rPr>
          <w:sz w:val="24"/>
          <w:szCs w:val="24"/>
        </w:rPr>
      </w:pPr>
      <w:r w:rsidRPr="0038665F">
        <w:rPr>
          <w:sz w:val="24"/>
          <w:szCs w:val="24"/>
        </w:rPr>
        <w:t xml:space="preserve">All monetary values stated in this policy exclude GST unless specifically stated </w:t>
      </w:r>
      <w:r w:rsidR="00B6619E">
        <w:rPr>
          <w:sz w:val="24"/>
          <w:szCs w:val="24"/>
        </w:rPr>
        <w:t xml:space="preserve"> </w:t>
      </w:r>
      <w:r w:rsidRPr="0038665F">
        <w:rPr>
          <w:sz w:val="24"/>
          <w:szCs w:val="24"/>
        </w:rPr>
        <w:t>otherwise</w:t>
      </w:r>
      <w:r w:rsidR="00FC64A6" w:rsidRPr="0038665F">
        <w:rPr>
          <w:sz w:val="24"/>
          <w:szCs w:val="24"/>
        </w:rPr>
        <w:t>.</w:t>
      </w:r>
    </w:p>
    <w:p w14:paraId="5701B491" w14:textId="1F5A3865" w:rsidR="0059097D" w:rsidRPr="005F6A36" w:rsidRDefault="0059097D" w:rsidP="0059097D">
      <w:pPr>
        <w:pStyle w:val="Heading1"/>
        <w:keepLines/>
        <w:numPr>
          <w:ilvl w:val="0"/>
          <w:numId w:val="11"/>
        </w:numPr>
        <w:spacing w:before="480" w:after="0" w:line="276" w:lineRule="auto"/>
        <w:rPr>
          <w:sz w:val="36"/>
          <w:szCs w:val="36"/>
        </w:rPr>
      </w:pPr>
      <w:bookmarkStart w:id="345" w:name="_Toc240536454"/>
      <w:r w:rsidRPr="005F6A36">
        <w:rPr>
          <w:sz w:val="36"/>
          <w:szCs w:val="36"/>
        </w:rPr>
        <w:t>Organisation Procurement Structure</w:t>
      </w:r>
      <w:bookmarkEnd w:id="345"/>
      <w:r w:rsidRPr="005F6A36">
        <w:rPr>
          <w:sz w:val="36"/>
          <w:szCs w:val="36"/>
        </w:rPr>
        <w:t xml:space="preserve"> </w:t>
      </w:r>
    </w:p>
    <w:p w14:paraId="6157235E" w14:textId="11CEBD42" w:rsidR="00D416BE" w:rsidRPr="00B6619E" w:rsidRDefault="00694501" w:rsidP="00A324D3">
      <w:pPr>
        <w:spacing w:after="240"/>
        <w:ind w:left="425"/>
        <w:jc w:val="both"/>
        <w:rPr>
          <w:sz w:val="24"/>
          <w:szCs w:val="24"/>
        </w:rPr>
      </w:pPr>
      <w:bookmarkStart w:id="346" w:name="_Toc227675653"/>
      <w:bookmarkStart w:id="347" w:name="_Toc227674696"/>
      <w:bookmarkStart w:id="348" w:name="_Toc227674968"/>
      <w:bookmarkStart w:id="349" w:name="_Toc227675105"/>
      <w:bookmarkStart w:id="350" w:name="_Toc227675242"/>
      <w:bookmarkStart w:id="351" w:name="_Toc227675379"/>
      <w:bookmarkStart w:id="352" w:name="_Toc227675516"/>
      <w:bookmarkStart w:id="353" w:name="_Toc227675654"/>
      <w:bookmarkStart w:id="354" w:name="_Toc227674569"/>
      <w:bookmarkStart w:id="355" w:name="_Toc227674697"/>
      <w:bookmarkStart w:id="356" w:name="_Toc227674969"/>
      <w:bookmarkStart w:id="357" w:name="_Toc227675106"/>
      <w:bookmarkStart w:id="358" w:name="_Toc227675243"/>
      <w:bookmarkStart w:id="359" w:name="_Toc227675380"/>
      <w:bookmarkStart w:id="360" w:name="_Toc227675517"/>
      <w:bookmarkStart w:id="361" w:name="_Toc227675655"/>
      <w:bookmarkStart w:id="362" w:name="_Toc83923964"/>
      <w:bookmarkStart w:id="363" w:name="_Toc83929076"/>
      <w:bookmarkStart w:id="364" w:name="_Toc83931152"/>
      <w:bookmarkStart w:id="365" w:name="_Toc83931238"/>
      <w:bookmarkStart w:id="366" w:name="_Toc83931324"/>
      <w:bookmarkStart w:id="367" w:name="_Toc83923965"/>
      <w:bookmarkStart w:id="368" w:name="_Toc83929077"/>
      <w:bookmarkStart w:id="369" w:name="_Toc83931153"/>
      <w:bookmarkStart w:id="370" w:name="_Toc83931239"/>
      <w:bookmarkStart w:id="371" w:name="_Toc83931325"/>
      <w:bookmarkStart w:id="372" w:name="_Toc83923966"/>
      <w:bookmarkStart w:id="373" w:name="_Toc83929078"/>
      <w:bookmarkStart w:id="374" w:name="_Toc83931154"/>
      <w:bookmarkStart w:id="375" w:name="_Toc83931240"/>
      <w:bookmarkStart w:id="376" w:name="_Toc83931326"/>
      <w:bookmarkStart w:id="377" w:name="_Toc83923967"/>
      <w:bookmarkStart w:id="378" w:name="_Toc83929079"/>
      <w:bookmarkStart w:id="379" w:name="_Toc83931155"/>
      <w:bookmarkStart w:id="380" w:name="_Toc83931241"/>
      <w:bookmarkStart w:id="381" w:name="_Toc83931327"/>
      <w:bookmarkStart w:id="382" w:name="_Toc83923968"/>
      <w:bookmarkStart w:id="383" w:name="_Toc83929080"/>
      <w:bookmarkStart w:id="384" w:name="_Toc83931156"/>
      <w:bookmarkStart w:id="385" w:name="_Toc83931242"/>
      <w:bookmarkStart w:id="386" w:name="_Toc83931328"/>
      <w:bookmarkStart w:id="387" w:name="_Toc83923969"/>
      <w:bookmarkStart w:id="388" w:name="_Toc83929081"/>
      <w:bookmarkStart w:id="389" w:name="_Toc83931157"/>
      <w:bookmarkStart w:id="390" w:name="_Toc83931243"/>
      <w:bookmarkStart w:id="391" w:name="_Toc83931329"/>
      <w:bookmarkStart w:id="392" w:name="_Toc83923970"/>
      <w:bookmarkStart w:id="393" w:name="_Toc83929082"/>
      <w:bookmarkStart w:id="394" w:name="_Toc83931158"/>
      <w:bookmarkStart w:id="395" w:name="_Toc83931244"/>
      <w:bookmarkStart w:id="396" w:name="_Toc83931330"/>
      <w:bookmarkStart w:id="397" w:name="_Toc83923971"/>
      <w:bookmarkStart w:id="398" w:name="_Toc83929083"/>
      <w:bookmarkStart w:id="399" w:name="_Toc83931159"/>
      <w:bookmarkStart w:id="400" w:name="_Toc83931245"/>
      <w:bookmarkStart w:id="401" w:name="_Toc83931331"/>
      <w:bookmarkStart w:id="402" w:name="_Toc83923972"/>
      <w:bookmarkStart w:id="403" w:name="_Toc83929084"/>
      <w:bookmarkStart w:id="404" w:name="_Toc83931160"/>
      <w:bookmarkStart w:id="405" w:name="_Toc83931246"/>
      <w:bookmarkStart w:id="406" w:name="_Toc83931332"/>
      <w:bookmarkStart w:id="407" w:name="_Toc83923973"/>
      <w:bookmarkStart w:id="408" w:name="_Toc83929085"/>
      <w:bookmarkStart w:id="409" w:name="_Toc83931161"/>
      <w:bookmarkStart w:id="410" w:name="_Toc83931247"/>
      <w:bookmarkStart w:id="411" w:name="_Toc83931333"/>
      <w:bookmarkStart w:id="412" w:name="_Toc83923974"/>
      <w:bookmarkStart w:id="413" w:name="_Toc83929086"/>
      <w:bookmarkStart w:id="414" w:name="_Toc83931162"/>
      <w:bookmarkStart w:id="415" w:name="_Toc83931248"/>
      <w:bookmarkStart w:id="416" w:name="_Toc83931334"/>
      <w:bookmarkStart w:id="417" w:name="_Toc83923975"/>
      <w:bookmarkStart w:id="418" w:name="_Toc83929087"/>
      <w:bookmarkStart w:id="419" w:name="_Toc83931163"/>
      <w:bookmarkStart w:id="420" w:name="_Toc83931249"/>
      <w:bookmarkStart w:id="421" w:name="_Toc83931335"/>
      <w:bookmarkStart w:id="422" w:name="_Toc83923976"/>
      <w:bookmarkStart w:id="423" w:name="_Toc83929088"/>
      <w:bookmarkStart w:id="424" w:name="_Toc83931164"/>
      <w:bookmarkStart w:id="425" w:name="_Toc83931250"/>
      <w:bookmarkStart w:id="426" w:name="_Toc83931336"/>
      <w:bookmarkStart w:id="427" w:name="_Toc83923977"/>
      <w:bookmarkStart w:id="428" w:name="_Toc83929089"/>
      <w:bookmarkStart w:id="429" w:name="_Toc83931165"/>
      <w:bookmarkStart w:id="430" w:name="_Toc83931251"/>
      <w:bookmarkStart w:id="431" w:name="_Toc83931337"/>
      <w:bookmarkStart w:id="432" w:name="_Toc83923978"/>
      <w:bookmarkStart w:id="433" w:name="_Toc83929090"/>
      <w:bookmarkStart w:id="434" w:name="_Toc83931166"/>
      <w:bookmarkStart w:id="435" w:name="_Toc83931252"/>
      <w:bookmarkStart w:id="436" w:name="_Toc83931338"/>
      <w:bookmarkStart w:id="437" w:name="_Toc83923979"/>
      <w:bookmarkStart w:id="438" w:name="_Toc83929091"/>
      <w:bookmarkStart w:id="439" w:name="_Toc83931167"/>
      <w:bookmarkStart w:id="440" w:name="_Toc83931253"/>
      <w:bookmarkStart w:id="441" w:name="_Toc83931339"/>
      <w:bookmarkStart w:id="442" w:name="_Toc83923980"/>
      <w:bookmarkStart w:id="443" w:name="_Toc83929092"/>
      <w:bookmarkStart w:id="444" w:name="_Toc83931168"/>
      <w:bookmarkStart w:id="445" w:name="_Toc83931254"/>
      <w:bookmarkStart w:id="446" w:name="_Toc83931340"/>
      <w:bookmarkStart w:id="447" w:name="_Toc83923981"/>
      <w:bookmarkStart w:id="448" w:name="_Toc83929093"/>
      <w:bookmarkStart w:id="449" w:name="_Toc83931169"/>
      <w:bookmarkStart w:id="450" w:name="_Toc83931255"/>
      <w:bookmarkStart w:id="451" w:name="_Toc83931341"/>
      <w:bookmarkStart w:id="452" w:name="_Toc83923982"/>
      <w:bookmarkStart w:id="453" w:name="_Toc83929094"/>
      <w:bookmarkStart w:id="454" w:name="_Toc83931170"/>
      <w:bookmarkStart w:id="455" w:name="_Toc83931256"/>
      <w:bookmarkStart w:id="456" w:name="_Toc83931342"/>
      <w:bookmarkStart w:id="457" w:name="_Toc83923983"/>
      <w:bookmarkStart w:id="458" w:name="_Toc83929095"/>
      <w:bookmarkStart w:id="459" w:name="_Toc83931171"/>
      <w:bookmarkStart w:id="460" w:name="_Toc83931257"/>
      <w:bookmarkStart w:id="461" w:name="_Toc83931343"/>
      <w:bookmarkStart w:id="462" w:name="_Toc83923984"/>
      <w:bookmarkStart w:id="463" w:name="_Toc83929096"/>
      <w:bookmarkStart w:id="464" w:name="_Toc83931172"/>
      <w:bookmarkStart w:id="465" w:name="_Toc83931258"/>
      <w:bookmarkStart w:id="466" w:name="_Toc83931344"/>
      <w:bookmarkStart w:id="467" w:name="_Toc83923985"/>
      <w:bookmarkStart w:id="468" w:name="_Toc83929097"/>
      <w:bookmarkStart w:id="469" w:name="_Toc83931173"/>
      <w:bookmarkStart w:id="470" w:name="_Toc83931259"/>
      <w:bookmarkStart w:id="471" w:name="_Toc83931345"/>
      <w:bookmarkStart w:id="472" w:name="_Toc83923986"/>
      <w:bookmarkStart w:id="473" w:name="_Toc83929098"/>
      <w:bookmarkStart w:id="474" w:name="_Toc83931174"/>
      <w:bookmarkStart w:id="475" w:name="_Toc83931260"/>
      <w:bookmarkStart w:id="476" w:name="_Toc83931346"/>
      <w:bookmarkStart w:id="477" w:name="_Toc83923987"/>
      <w:bookmarkStart w:id="478" w:name="_Toc83929099"/>
      <w:bookmarkStart w:id="479" w:name="_Toc83931175"/>
      <w:bookmarkStart w:id="480" w:name="_Toc83931261"/>
      <w:bookmarkStart w:id="481" w:name="_Toc83931347"/>
      <w:bookmarkStart w:id="482" w:name="_Toc83923988"/>
      <w:bookmarkStart w:id="483" w:name="_Toc83929100"/>
      <w:bookmarkStart w:id="484" w:name="_Toc83931176"/>
      <w:bookmarkStart w:id="485" w:name="_Toc83931262"/>
      <w:bookmarkStart w:id="486" w:name="_Toc83931348"/>
      <w:bookmarkStart w:id="487" w:name="_Toc83923989"/>
      <w:bookmarkStart w:id="488" w:name="_Toc83929101"/>
      <w:bookmarkStart w:id="489" w:name="_Toc83931177"/>
      <w:bookmarkStart w:id="490" w:name="_Toc83931263"/>
      <w:bookmarkStart w:id="491" w:name="_Toc83931349"/>
      <w:bookmarkStart w:id="492" w:name="_Toc83923990"/>
      <w:bookmarkStart w:id="493" w:name="_Toc83929102"/>
      <w:bookmarkStart w:id="494" w:name="_Toc83931178"/>
      <w:bookmarkStart w:id="495" w:name="_Toc83931264"/>
      <w:bookmarkStart w:id="496" w:name="_Toc83931350"/>
      <w:bookmarkStart w:id="497" w:name="_Toc83923991"/>
      <w:bookmarkStart w:id="498" w:name="_Toc83929103"/>
      <w:bookmarkStart w:id="499" w:name="_Toc83931179"/>
      <w:bookmarkStart w:id="500" w:name="_Toc83931265"/>
      <w:bookmarkStart w:id="501" w:name="_Toc83931351"/>
      <w:bookmarkStart w:id="502" w:name="_Toc83923992"/>
      <w:bookmarkStart w:id="503" w:name="_Toc83929104"/>
      <w:bookmarkStart w:id="504" w:name="_Toc83931180"/>
      <w:bookmarkStart w:id="505" w:name="_Toc83931266"/>
      <w:bookmarkStart w:id="506" w:name="_Toc83931352"/>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sidRPr="00B6619E">
        <w:rPr>
          <w:sz w:val="24"/>
          <w:szCs w:val="24"/>
        </w:rPr>
        <w:t>Council has delegated a range of powers, duties and functions to the CEO in relation to procurement. The delegation aims to ensure that the Council’s procurement structure operates according to processes that:</w:t>
      </w:r>
    </w:p>
    <w:p w14:paraId="37835829" w14:textId="12EB2CCF" w:rsidR="00694501" w:rsidRPr="00B6619E" w:rsidRDefault="00487DEE" w:rsidP="00A324D3">
      <w:pPr>
        <w:pStyle w:val="ListParagraph"/>
        <w:numPr>
          <w:ilvl w:val="0"/>
          <w:numId w:val="120"/>
        </w:numPr>
        <w:rPr>
          <w:rFonts w:cs="Arial"/>
          <w:sz w:val="24"/>
          <w:szCs w:val="24"/>
          <w:lang w:eastAsia="en-AU"/>
        </w:rPr>
      </w:pPr>
      <w:r w:rsidRPr="00B6619E">
        <w:rPr>
          <w:rFonts w:eastAsia="Times New Roman" w:cs="Arial"/>
          <w:sz w:val="24"/>
          <w:szCs w:val="24"/>
          <w:lang w:eastAsia="en-AU"/>
        </w:rPr>
        <w:t>are flexible enough to procure in a timely manner the diverse range of goods, works and services required by Council;</w:t>
      </w:r>
    </w:p>
    <w:p w14:paraId="44D9DDC8" w14:textId="00C01F4E" w:rsidR="00694501" w:rsidRPr="00B6619E" w:rsidRDefault="00487DEE" w:rsidP="00A324D3">
      <w:pPr>
        <w:pStyle w:val="ListParagraph"/>
        <w:numPr>
          <w:ilvl w:val="0"/>
          <w:numId w:val="120"/>
        </w:numPr>
        <w:rPr>
          <w:rFonts w:cs="Arial"/>
          <w:sz w:val="24"/>
          <w:szCs w:val="24"/>
          <w:lang w:eastAsia="en-AU"/>
        </w:rPr>
      </w:pPr>
      <w:r w:rsidRPr="00B6619E">
        <w:rPr>
          <w:rFonts w:eastAsia="Times New Roman" w:cs="Arial"/>
          <w:sz w:val="24"/>
          <w:szCs w:val="24"/>
          <w:lang w:eastAsia="en-AU"/>
        </w:rPr>
        <w:t>guarantee that prospective contractors and suppliers are afforded an equal opportunity to tender or submit a quotation; and</w:t>
      </w:r>
    </w:p>
    <w:p w14:paraId="20CC54E5" w14:textId="513DBA93" w:rsidR="00694501" w:rsidRPr="00B6619E" w:rsidRDefault="00487DEE" w:rsidP="009B37D6">
      <w:pPr>
        <w:pStyle w:val="ListParagraph"/>
        <w:spacing w:before="120" w:after="240" w:line="233" w:lineRule="auto"/>
        <w:ind w:left="1145"/>
        <w:jc w:val="both"/>
        <w:rPr>
          <w:rFonts w:cs="Arial"/>
          <w:sz w:val="24"/>
          <w:szCs w:val="24"/>
          <w:lang w:eastAsia="en-AU"/>
        </w:rPr>
      </w:pPr>
      <w:r w:rsidRPr="00B6619E">
        <w:rPr>
          <w:rFonts w:eastAsia="Times New Roman" w:cs="Arial"/>
          <w:sz w:val="24"/>
          <w:szCs w:val="24"/>
          <w:lang w:eastAsia="en-AU"/>
        </w:rPr>
        <w:t>encourage competition and collaboration, even where the CEO runs a procurement process under delegation.</w:t>
      </w:r>
    </w:p>
    <w:p w14:paraId="002A6A4C" w14:textId="34073B09" w:rsidR="00237020" w:rsidRPr="00B6619E" w:rsidRDefault="00872D5E" w:rsidP="00B6619E">
      <w:pPr>
        <w:spacing w:after="240"/>
        <w:ind w:left="425"/>
        <w:jc w:val="both"/>
        <w:rPr>
          <w:sz w:val="24"/>
          <w:szCs w:val="24"/>
        </w:rPr>
      </w:pPr>
      <w:r w:rsidRPr="00B6619E">
        <w:rPr>
          <w:sz w:val="24"/>
          <w:szCs w:val="24"/>
        </w:rPr>
        <w:t>Council operates a centre-led procurement model, where the Procurement Team provides governance, policy, guidance and strategic oversight, and Business Units are responsible for managing procurement and contract activities within their portfolios in accordance with this Policy.</w:t>
      </w:r>
    </w:p>
    <w:p w14:paraId="39E8AA4D" w14:textId="4DB440D3" w:rsidR="0026365E" w:rsidRPr="002C7F3A" w:rsidRDefault="0026365E" w:rsidP="0026365E">
      <w:pPr>
        <w:pStyle w:val="proc1"/>
        <w:numPr>
          <w:ilvl w:val="1"/>
          <w:numId w:val="11"/>
        </w:numPr>
        <w:rPr>
          <w:sz w:val="28"/>
          <w:szCs w:val="28"/>
        </w:rPr>
      </w:pPr>
      <w:bookmarkStart w:id="507" w:name="_Toc227674700"/>
      <w:bookmarkStart w:id="508" w:name="_Toc227674835"/>
      <w:bookmarkStart w:id="509" w:name="_Toc227674972"/>
      <w:bookmarkStart w:id="510" w:name="_Toc227675109"/>
      <w:bookmarkStart w:id="511" w:name="_Toc227675246"/>
      <w:bookmarkStart w:id="512" w:name="_Toc227675383"/>
      <w:bookmarkStart w:id="513" w:name="_Toc227675520"/>
      <w:bookmarkStart w:id="514" w:name="_Toc227675658"/>
      <w:bookmarkStart w:id="515" w:name="_Toc227675792"/>
      <w:bookmarkStart w:id="516" w:name="_Toc227675926"/>
      <w:bookmarkStart w:id="517" w:name="_Toc227674701"/>
      <w:bookmarkStart w:id="518" w:name="_Toc227674836"/>
      <w:bookmarkStart w:id="519" w:name="_Toc227674973"/>
      <w:bookmarkStart w:id="520" w:name="_Toc227675110"/>
      <w:bookmarkStart w:id="521" w:name="_Toc227675247"/>
      <w:bookmarkStart w:id="522" w:name="_Toc227675384"/>
      <w:bookmarkStart w:id="523" w:name="_Toc227675521"/>
      <w:bookmarkStart w:id="524" w:name="_Toc227675659"/>
      <w:bookmarkStart w:id="525" w:name="_Toc227675793"/>
      <w:bookmarkStart w:id="526" w:name="_Toc227675927"/>
      <w:bookmarkStart w:id="527" w:name="_Toc227674702"/>
      <w:bookmarkStart w:id="528" w:name="_Toc227674837"/>
      <w:bookmarkStart w:id="529" w:name="_Toc227674974"/>
      <w:bookmarkStart w:id="530" w:name="_Toc227675111"/>
      <w:bookmarkStart w:id="531" w:name="_Toc227675248"/>
      <w:bookmarkStart w:id="532" w:name="_Toc227675385"/>
      <w:bookmarkStart w:id="533" w:name="_Toc227675522"/>
      <w:bookmarkStart w:id="534" w:name="_Toc227675660"/>
      <w:bookmarkStart w:id="535" w:name="_Toc227675794"/>
      <w:bookmarkStart w:id="536" w:name="_Toc227675928"/>
      <w:bookmarkStart w:id="537" w:name="_Toc227674703"/>
      <w:bookmarkStart w:id="538" w:name="_Toc227674838"/>
      <w:bookmarkStart w:id="539" w:name="_Toc227674975"/>
      <w:bookmarkStart w:id="540" w:name="_Toc227675112"/>
      <w:bookmarkStart w:id="541" w:name="_Toc227675249"/>
      <w:bookmarkStart w:id="542" w:name="_Toc227675386"/>
      <w:bookmarkStart w:id="543" w:name="_Toc227675523"/>
      <w:bookmarkStart w:id="544" w:name="_Toc227675661"/>
      <w:bookmarkStart w:id="545" w:name="_Toc227675795"/>
      <w:bookmarkStart w:id="546" w:name="_Toc227675929"/>
      <w:bookmarkStart w:id="547" w:name="_Toc227674704"/>
      <w:bookmarkStart w:id="548" w:name="_Toc227674839"/>
      <w:bookmarkStart w:id="549" w:name="_Toc227674976"/>
      <w:bookmarkStart w:id="550" w:name="_Toc227675113"/>
      <w:bookmarkStart w:id="551" w:name="_Toc227675250"/>
      <w:bookmarkStart w:id="552" w:name="_Toc227675387"/>
      <w:bookmarkStart w:id="553" w:name="_Toc227675524"/>
      <w:bookmarkStart w:id="554" w:name="_Toc227675662"/>
      <w:bookmarkStart w:id="555" w:name="_Toc227675796"/>
      <w:bookmarkStart w:id="556" w:name="_Toc227675930"/>
      <w:bookmarkStart w:id="557" w:name="_Toc227674705"/>
      <w:bookmarkStart w:id="558" w:name="_Toc227674840"/>
      <w:bookmarkStart w:id="559" w:name="_Toc227674977"/>
      <w:bookmarkStart w:id="560" w:name="_Toc227675114"/>
      <w:bookmarkStart w:id="561" w:name="_Toc227675251"/>
      <w:bookmarkStart w:id="562" w:name="_Toc227675388"/>
      <w:bookmarkStart w:id="563" w:name="_Toc227675525"/>
      <w:bookmarkStart w:id="564" w:name="_Toc227675663"/>
      <w:bookmarkStart w:id="565" w:name="_Toc227675797"/>
      <w:bookmarkStart w:id="566" w:name="_Toc227675931"/>
      <w:bookmarkStart w:id="567" w:name="_Toc227674706"/>
      <w:bookmarkStart w:id="568" w:name="_Toc227674841"/>
      <w:bookmarkStart w:id="569" w:name="_Toc227674978"/>
      <w:bookmarkStart w:id="570" w:name="_Toc227675115"/>
      <w:bookmarkStart w:id="571" w:name="_Toc227675252"/>
      <w:bookmarkStart w:id="572" w:name="_Toc227675389"/>
      <w:bookmarkStart w:id="573" w:name="_Toc227675526"/>
      <w:bookmarkStart w:id="574" w:name="_Toc227675664"/>
      <w:bookmarkStart w:id="575" w:name="_Toc227675798"/>
      <w:bookmarkStart w:id="576" w:name="_Toc227675932"/>
      <w:bookmarkStart w:id="577" w:name="_Toc227674707"/>
      <w:bookmarkStart w:id="578" w:name="_Toc227674842"/>
      <w:bookmarkStart w:id="579" w:name="_Toc227674979"/>
      <w:bookmarkStart w:id="580" w:name="_Toc227675116"/>
      <w:bookmarkStart w:id="581" w:name="_Toc227675253"/>
      <w:bookmarkStart w:id="582" w:name="_Toc227675390"/>
      <w:bookmarkStart w:id="583" w:name="_Toc227675527"/>
      <w:bookmarkStart w:id="584" w:name="_Toc227675665"/>
      <w:bookmarkStart w:id="585" w:name="_Toc227675799"/>
      <w:bookmarkStart w:id="586" w:name="_Toc227675933"/>
      <w:bookmarkStart w:id="587" w:name="_Toc227674708"/>
      <w:bookmarkStart w:id="588" w:name="_Toc227674843"/>
      <w:bookmarkStart w:id="589" w:name="_Toc227674980"/>
      <w:bookmarkStart w:id="590" w:name="_Toc227675117"/>
      <w:bookmarkStart w:id="591" w:name="_Toc227675254"/>
      <w:bookmarkStart w:id="592" w:name="_Toc227675391"/>
      <w:bookmarkStart w:id="593" w:name="_Toc227675528"/>
      <w:bookmarkStart w:id="594" w:name="_Toc227675666"/>
      <w:bookmarkStart w:id="595" w:name="_Toc227675800"/>
      <w:bookmarkStart w:id="596" w:name="_Toc227675934"/>
      <w:bookmarkStart w:id="597" w:name="_Toc240536455"/>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r w:rsidRPr="002C7F3A">
        <w:rPr>
          <w:sz w:val="28"/>
          <w:szCs w:val="28"/>
        </w:rPr>
        <w:t>Business Case requirement</w:t>
      </w:r>
      <w:r w:rsidR="00E833E0" w:rsidRPr="002C7F3A">
        <w:rPr>
          <w:sz w:val="28"/>
          <w:szCs w:val="28"/>
        </w:rPr>
        <w:t>s</w:t>
      </w:r>
      <w:bookmarkEnd w:id="597"/>
      <w:r w:rsidRPr="002C7F3A">
        <w:rPr>
          <w:sz w:val="28"/>
          <w:szCs w:val="28"/>
        </w:rPr>
        <w:t xml:space="preserve">  </w:t>
      </w:r>
    </w:p>
    <w:p w14:paraId="3A5B2CF5" w14:textId="77777777" w:rsidR="0095686A" w:rsidRPr="00B6619E" w:rsidRDefault="0095686A" w:rsidP="0095686A">
      <w:pPr>
        <w:spacing w:after="240"/>
        <w:ind w:left="425"/>
        <w:jc w:val="both"/>
        <w:rPr>
          <w:sz w:val="24"/>
          <w:szCs w:val="24"/>
        </w:rPr>
      </w:pPr>
      <w:r w:rsidRPr="00B6619E">
        <w:rPr>
          <w:sz w:val="24"/>
          <w:szCs w:val="24"/>
        </w:rPr>
        <w:t>Business Units must ensure that appropriate budget provision and approvals are in place before commencing any procurement activity. This includes confirmation that funding has been allocated within the approved operating or capital budget and that the required financial and management approvals have been obtained.</w:t>
      </w:r>
    </w:p>
    <w:p w14:paraId="56D87F5B" w14:textId="77777777" w:rsidR="0095686A" w:rsidRPr="00B6619E" w:rsidRDefault="0095686A" w:rsidP="0095686A">
      <w:pPr>
        <w:ind w:left="425"/>
        <w:rPr>
          <w:sz w:val="24"/>
          <w:szCs w:val="24"/>
        </w:rPr>
      </w:pPr>
      <w:r w:rsidRPr="00B6619E">
        <w:rPr>
          <w:sz w:val="24"/>
          <w:szCs w:val="24"/>
        </w:rPr>
        <w:t>Procurement proposals must be supported by documentation that is proportionate to the estimated value, risk, complexity and strategic significance of the procurement, in accordance with the following requirements:</w:t>
      </w:r>
    </w:p>
    <w:p w14:paraId="4A9AA36B" w14:textId="77777777" w:rsidR="0095686A" w:rsidRPr="00B6619E" w:rsidRDefault="0095686A" w:rsidP="0095686A">
      <w:pPr>
        <w:pStyle w:val="ListParagraph"/>
        <w:ind w:left="1145"/>
        <w:rPr>
          <w:rFonts w:eastAsia="Times New Roman" w:cs="Arial"/>
          <w:sz w:val="24"/>
          <w:szCs w:val="24"/>
          <w:lang w:eastAsia="en-AU"/>
        </w:rPr>
      </w:pPr>
    </w:p>
    <w:p w14:paraId="297C2626" w14:textId="77777777" w:rsidR="0095686A" w:rsidRPr="00B6619E" w:rsidRDefault="0095686A" w:rsidP="0095686A">
      <w:pPr>
        <w:pStyle w:val="ListParagraph"/>
        <w:numPr>
          <w:ilvl w:val="0"/>
          <w:numId w:val="120"/>
        </w:numPr>
        <w:rPr>
          <w:rFonts w:eastAsia="Times New Roman" w:cs="Arial"/>
          <w:sz w:val="24"/>
          <w:szCs w:val="24"/>
          <w:lang w:eastAsia="en-AU"/>
        </w:rPr>
      </w:pPr>
      <w:r w:rsidRPr="00B6619E">
        <w:rPr>
          <w:rFonts w:eastAsia="Times New Roman" w:cs="Arial"/>
          <w:b/>
          <w:bCs/>
          <w:sz w:val="24"/>
          <w:szCs w:val="24"/>
          <w:lang w:eastAsia="en-AU"/>
        </w:rPr>
        <w:t>Light (Brief)</w:t>
      </w:r>
      <w:r w:rsidRPr="00B6619E">
        <w:rPr>
          <w:rFonts w:eastAsia="Times New Roman" w:cs="Arial"/>
          <w:sz w:val="24"/>
          <w:szCs w:val="24"/>
          <w:lang w:eastAsia="en-AU"/>
        </w:rPr>
        <w:t xml:space="preserve"> — for procurements between $150,000 and $300,000, a documented justification approved in line with Council's delegations</w:t>
      </w:r>
    </w:p>
    <w:p w14:paraId="1AD05753" w14:textId="77777777" w:rsidR="0095686A" w:rsidRPr="00B6619E" w:rsidRDefault="0095686A" w:rsidP="0095686A">
      <w:pPr>
        <w:pStyle w:val="ListParagraph"/>
        <w:numPr>
          <w:ilvl w:val="0"/>
          <w:numId w:val="120"/>
        </w:numPr>
        <w:rPr>
          <w:rFonts w:eastAsia="Times New Roman" w:cs="Arial"/>
          <w:sz w:val="24"/>
          <w:szCs w:val="24"/>
          <w:lang w:eastAsia="en-AU"/>
        </w:rPr>
      </w:pPr>
      <w:r w:rsidRPr="00B6619E">
        <w:rPr>
          <w:rFonts w:eastAsia="Times New Roman" w:cs="Arial"/>
          <w:b/>
          <w:bCs/>
          <w:sz w:val="24"/>
          <w:szCs w:val="24"/>
          <w:lang w:eastAsia="en-AU"/>
        </w:rPr>
        <w:t>Medium (Business Case)</w:t>
      </w:r>
      <w:r w:rsidRPr="00B6619E">
        <w:rPr>
          <w:rFonts w:eastAsia="Times New Roman" w:cs="Arial"/>
          <w:sz w:val="24"/>
          <w:szCs w:val="24"/>
          <w:lang w:eastAsia="en-AU"/>
        </w:rPr>
        <w:t xml:space="preserve"> — for procurements between $300,000 and $750,000, addressing value for money, risk consideration and alignment with Council objectives</w:t>
      </w:r>
    </w:p>
    <w:p w14:paraId="45B2C49F" w14:textId="77777777" w:rsidR="0095686A" w:rsidRPr="00B6619E" w:rsidRDefault="0095686A" w:rsidP="0095686A">
      <w:pPr>
        <w:pStyle w:val="ListParagraph"/>
        <w:numPr>
          <w:ilvl w:val="0"/>
          <w:numId w:val="120"/>
        </w:numPr>
        <w:rPr>
          <w:rFonts w:eastAsia="Times New Roman" w:cs="Arial"/>
          <w:sz w:val="24"/>
          <w:szCs w:val="24"/>
          <w:lang w:eastAsia="en-AU"/>
        </w:rPr>
      </w:pPr>
      <w:r w:rsidRPr="00B6619E">
        <w:rPr>
          <w:rFonts w:eastAsia="Times New Roman" w:cs="Arial"/>
          <w:b/>
          <w:bCs/>
          <w:sz w:val="24"/>
          <w:szCs w:val="24"/>
          <w:lang w:eastAsia="en-AU"/>
        </w:rPr>
        <w:t>High (Strategic Business Case)</w:t>
      </w:r>
      <w:r w:rsidRPr="00B6619E">
        <w:rPr>
          <w:rFonts w:eastAsia="Times New Roman" w:cs="Arial"/>
          <w:sz w:val="24"/>
          <w:szCs w:val="24"/>
          <w:lang w:eastAsia="en-AU"/>
        </w:rPr>
        <w:t xml:space="preserve"> — for procurements greater than $750,000, or where the procurement is assessed as high-risk, high-profile or strategically significant (regardless of value), addressing financial, commercial, operational and strategic considerations</w:t>
      </w:r>
    </w:p>
    <w:p w14:paraId="762DEDD0" w14:textId="77777777" w:rsidR="0095686A" w:rsidRPr="00B6619E" w:rsidRDefault="0095686A" w:rsidP="0095686A">
      <w:pPr>
        <w:ind w:firstLine="720"/>
        <w:rPr>
          <w:b/>
          <w:bCs/>
          <w:sz w:val="24"/>
          <w:szCs w:val="24"/>
        </w:rPr>
      </w:pPr>
      <w:r w:rsidRPr="00B6619E">
        <w:rPr>
          <w:b/>
          <w:bCs/>
          <w:sz w:val="24"/>
          <w:szCs w:val="24"/>
        </w:rPr>
        <w:t>Exemption</w:t>
      </w:r>
    </w:p>
    <w:p w14:paraId="5B092D89" w14:textId="77777777" w:rsidR="0095686A" w:rsidRPr="00B6619E" w:rsidRDefault="0095686A" w:rsidP="0095686A">
      <w:pPr>
        <w:ind w:left="720"/>
        <w:rPr>
          <w:sz w:val="24"/>
          <w:szCs w:val="24"/>
        </w:rPr>
      </w:pPr>
      <w:r w:rsidRPr="00B6619E">
        <w:rPr>
          <w:sz w:val="24"/>
          <w:szCs w:val="24"/>
        </w:rPr>
        <w:t>A Procurement Brief, Business Case or Strategic Business Case may not be required in the following circumstances:</w:t>
      </w:r>
    </w:p>
    <w:p w14:paraId="0A24CD0B" w14:textId="77777777" w:rsidR="0095686A" w:rsidRPr="00B6619E" w:rsidRDefault="0095686A" w:rsidP="0095686A">
      <w:pPr>
        <w:pStyle w:val="ListParagraph"/>
        <w:ind w:left="1145"/>
        <w:rPr>
          <w:rFonts w:eastAsia="Times New Roman" w:cs="Arial"/>
          <w:sz w:val="24"/>
          <w:szCs w:val="24"/>
          <w:lang w:eastAsia="en-AU"/>
        </w:rPr>
      </w:pPr>
    </w:p>
    <w:p w14:paraId="40DAE488" w14:textId="77777777" w:rsidR="0095686A" w:rsidRPr="00B6619E" w:rsidRDefault="0095686A" w:rsidP="0095686A">
      <w:pPr>
        <w:pStyle w:val="ListParagraph"/>
        <w:numPr>
          <w:ilvl w:val="0"/>
          <w:numId w:val="120"/>
        </w:numPr>
        <w:rPr>
          <w:rFonts w:eastAsia="Times New Roman" w:cs="Arial"/>
          <w:sz w:val="24"/>
          <w:szCs w:val="24"/>
          <w:lang w:eastAsia="en-AU"/>
        </w:rPr>
      </w:pPr>
      <w:r w:rsidRPr="00B6619E">
        <w:rPr>
          <w:rFonts w:eastAsia="Times New Roman" w:cs="Arial"/>
          <w:sz w:val="24"/>
          <w:szCs w:val="24"/>
          <w:lang w:eastAsia="en-AU"/>
        </w:rPr>
        <w:t>Where a specific project has been identified and approved as part of Council's budget process, and the procurement activity flows directly from that approved budget; or</w:t>
      </w:r>
    </w:p>
    <w:p w14:paraId="287DFE77" w14:textId="77777777" w:rsidR="0095686A" w:rsidRPr="00B6619E" w:rsidRDefault="0095686A" w:rsidP="0095686A">
      <w:pPr>
        <w:pStyle w:val="ListParagraph"/>
        <w:numPr>
          <w:ilvl w:val="0"/>
          <w:numId w:val="120"/>
        </w:numPr>
        <w:rPr>
          <w:rFonts w:eastAsia="Times New Roman" w:cs="Arial"/>
          <w:sz w:val="24"/>
          <w:szCs w:val="24"/>
          <w:lang w:eastAsia="en-AU"/>
        </w:rPr>
      </w:pPr>
      <w:r w:rsidRPr="00B6619E">
        <w:rPr>
          <w:rFonts w:eastAsia="Times New Roman" w:cs="Arial"/>
          <w:sz w:val="24"/>
          <w:szCs w:val="24"/>
          <w:lang w:eastAsia="en-AU"/>
        </w:rPr>
        <w:t>Where the procurement relates to continuous operational services or recurrent expenditure that is incurred on an annual basis.</w:t>
      </w:r>
    </w:p>
    <w:p w14:paraId="0497D288" w14:textId="77777777" w:rsidR="0095686A" w:rsidRPr="00B6619E" w:rsidRDefault="0095686A" w:rsidP="0095686A">
      <w:pPr>
        <w:pStyle w:val="ListParagraph"/>
        <w:numPr>
          <w:ilvl w:val="0"/>
          <w:numId w:val="120"/>
        </w:numPr>
        <w:rPr>
          <w:rFonts w:eastAsia="Times New Roman" w:cs="Arial"/>
          <w:sz w:val="24"/>
          <w:szCs w:val="24"/>
          <w:lang w:eastAsia="en-AU"/>
        </w:rPr>
      </w:pPr>
      <w:r w:rsidRPr="00B6619E">
        <w:rPr>
          <w:rFonts w:eastAsia="Times New Roman" w:cs="Arial"/>
          <w:sz w:val="24"/>
          <w:szCs w:val="24"/>
          <w:lang w:eastAsia="en-AU"/>
        </w:rPr>
        <w:t>In all exempt cases, the relevant supporting documentation such as the approved budget or prior approval must be referenced and retained as part of the procurement record.</w:t>
      </w:r>
    </w:p>
    <w:p w14:paraId="4F7460D4" w14:textId="77777777" w:rsidR="0095686A" w:rsidRPr="00B6619E" w:rsidRDefault="0095686A" w:rsidP="0095686A">
      <w:pPr>
        <w:ind w:left="426"/>
        <w:rPr>
          <w:sz w:val="24"/>
          <w:szCs w:val="24"/>
        </w:rPr>
      </w:pPr>
      <w:r w:rsidRPr="00B6619E">
        <w:rPr>
          <w:sz w:val="24"/>
          <w:szCs w:val="24"/>
        </w:rPr>
        <w:t>Where applicable, approvals may include General Manager endorsement, financial delegate approval, Enterprise Project Management Office (EPMO) approval, or other authorised approval mechanisms, in accordance with Council’s delegations and governance frameworks.</w:t>
      </w:r>
    </w:p>
    <w:p w14:paraId="3ED43C4F" w14:textId="77777777" w:rsidR="00694501" w:rsidRPr="005F6A36" w:rsidRDefault="00694501" w:rsidP="00424A1B">
      <w:pPr>
        <w:pStyle w:val="Heading1"/>
        <w:keepLines/>
        <w:numPr>
          <w:ilvl w:val="0"/>
          <w:numId w:val="11"/>
        </w:numPr>
        <w:spacing w:before="480" w:after="0" w:line="276" w:lineRule="auto"/>
        <w:rPr>
          <w:sz w:val="36"/>
          <w:szCs w:val="36"/>
        </w:rPr>
      </w:pPr>
      <w:bookmarkStart w:id="598" w:name="_Toc227674573"/>
      <w:bookmarkStart w:id="599" w:name="_Toc227674710"/>
      <w:bookmarkStart w:id="600" w:name="_Toc227674845"/>
      <w:bookmarkStart w:id="601" w:name="_Toc227674982"/>
      <w:bookmarkStart w:id="602" w:name="_Toc227675119"/>
      <w:bookmarkStart w:id="603" w:name="_Toc227675256"/>
      <w:bookmarkStart w:id="604" w:name="_Toc227675393"/>
      <w:bookmarkStart w:id="605" w:name="_Toc227675530"/>
      <w:bookmarkStart w:id="606" w:name="_Toc227675668"/>
      <w:bookmarkStart w:id="607" w:name="_Toc227675802"/>
      <w:bookmarkStart w:id="608" w:name="_Toc227675936"/>
      <w:bookmarkStart w:id="609" w:name="_Toc227674574"/>
      <w:bookmarkStart w:id="610" w:name="_Toc227674711"/>
      <w:bookmarkStart w:id="611" w:name="_Toc227674846"/>
      <w:bookmarkStart w:id="612" w:name="_Toc227674983"/>
      <w:bookmarkStart w:id="613" w:name="_Toc227675120"/>
      <w:bookmarkStart w:id="614" w:name="_Toc227675257"/>
      <w:bookmarkStart w:id="615" w:name="_Toc227675394"/>
      <w:bookmarkStart w:id="616" w:name="_Toc227675531"/>
      <w:bookmarkStart w:id="617" w:name="_Toc227675669"/>
      <w:bookmarkStart w:id="618" w:name="_Toc227675803"/>
      <w:bookmarkStart w:id="619" w:name="_Toc227675937"/>
      <w:bookmarkStart w:id="620" w:name="_Toc227674575"/>
      <w:bookmarkStart w:id="621" w:name="_Toc227674712"/>
      <w:bookmarkStart w:id="622" w:name="_Toc227674847"/>
      <w:bookmarkStart w:id="623" w:name="_Toc227674984"/>
      <w:bookmarkStart w:id="624" w:name="_Toc227675121"/>
      <w:bookmarkStart w:id="625" w:name="_Toc227675258"/>
      <w:bookmarkStart w:id="626" w:name="_Toc227675395"/>
      <w:bookmarkStart w:id="627" w:name="_Toc227675532"/>
      <w:bookmarkStart w:id="628" w:name="_Toc227675670"/>
      <w:bookmarkStart w:id="629" w:name="_Toc227675804"/>
      <w:bookmarkStart w:id="630" w:name="_Toc227675938"/>
      <w:bookmarkStart w:id="631" w:name="_Toc227674576"/>
      <w:bookmarkStart w:id="632" w:name="_Toc227674713"/>
      <w:bookmarkStart w:id="633" w:name="_Toc227674848"/>
      <w:bookmarkStart w:id="634" w:name="_Toc227674985"/>
      <w:bookmarkStart w:id="635" w:name="_Toc227675122"/>
      <w:bookmarkStart w:id="636" w:name="_Toc227675259"/>
      <w:bookmarkStart w:id="637" w:name="_Toc227675396"/>
      <w:bookmarkStart w:id="638" w:name="_Toc227675533"/>
      <w:bookmarkStart w:id="639" w:name="_Toc227675671"/>
      <w:bookmarkStart w:id="640" w:name="_Toc227675805"/>
      <w:bookmarkStart w:id="641" w:name="_Toc227675939"/>
      <w:bookmarkStart w:id="642" w:name="_Toc227674577"/>
      <w:bookmarkStart w:id="643" w:name="_Toc227674714"/>
      <w:bookmarkStart w:id="644" w:name="_Toc227674849"/>
      <w:bookmarkStart w:id="645" w:name="_Toc227674986"/>
      <w:bookmarkStart w:id="646" w:name="_Toc227675123"/>
      <w:bookmarkStart w:id="647" w:name="_Toc227675260"/>
      <w:bookmarkStart w:id="648" w:name="_Toc227675397"/>
      <w:bookmarkStart w:id="649" w:name="_Toc227675534"/>
      <w:bookmarkStart w:id="650" w:name="_Toc227675672"/>
      <w:bookmarkStart w:id="651" w:name="_Toc227675806"/>
      <w:bookmarkStart w:id="652" w:name="_Toc227675940"/>
      <w:bookmarkStart w:id="653" w:name="_Toc227253326"/>
      <w:bookmarkStart w:id="654" w:name="_Toc227253417"/>
      <w:bookmarkStart w:id="655" w:name="_Toc227674578"/>
      <w:bookmarkStart w:id="656" w:name="_Toc227674715"/>
      <w:bookmarkStart w:id="657" w:name="_Toc227674850"/>
      <w:bookmarkStart w:id="658" w:name="_Toc227674987"/>
      <w:bookmarkStart w:id="659" w:name="_Toc227675124"/>
      <w:bookmarkStart w:id="660" w:name="_Toc227675261"/>
      <w:bookmarkStart w:id="661" w:name="_Toc227675398"/>
      <w:bookmarkStart w:id="662" w:name="_Toc227675535"/>
      <w:bookmarkStart w:id="663" w:name="_Toc227675673"/>
      <w:bookmarkStart w:id="664" w:name="_Toc227675807"/>
      <w:bookmarkStart w:id="665" w:name="_Toc227675941"/>
      <w:bookmarkStart w:id="666" w:name="_Toc84884781"/>
      <w:bookmarkStart w:id="667" w:name="_Toc85461567"/>
      <w:bookmarkStart w:id="668" w:name="_Toc240536456"/>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r w:rsidRPr="005F6A36">
        <w:rPr>
          <w:sz w:val="36"/>
          <w:szCs w:val="36"/>
        </w:rPr>
        <w:t>Procurement Methods</w:t>
      </w:r>
      <w:bookmarkEnd w:id="666"/>
      <w:bookmarkEnd w:id="667"/>
      <w:bookmarkEnd w:id="668"/>
    </w:p>
    <w:p w14:paraId="5D0B57A8" w14:textId="77777777" w:rsidR="005A609B" w:rsidRPr="00B6619E" w:rsidRDefault="005A609B" w:rsidP="00A324D3">
      <w:pPr>
        <w:spacing w:after="240"/>
        <w:ind w:left="425"/>
        <w:jc w:val="both"/>
        <w:rPr>
          <w:sz w:val="24"/>
          <w:szCs w:val="24"/>
        </w:rPr>
      </w:pPr>
      <w:r w:rsidRPr="00B6619E">
        <w:rPr>
          <w:sz w:val="24"/>
          <w:szCs w:val="24"/>
        </w:rPr>
        <w:t>Goods, services and works are acquired using the procurement methods set out in this section, determined by estimated total contract value, risk, complexity and market conditions.</w:t>
      </w:r>
    </w:p>
    <w:p w14:paraId="4860EADB" w14:textId="77777777" w:rsidR="005A609B" w:rsidRPr="00B6619E" w:rsidRDefault="005A609B" w:rsidP="00A324D3">
      <w:pPr>
        <w:spacing w:after="240"/>
        <w:ind w:left="425"/>
        <w:jc w:val="both"/>
        <w:rPr>
          <w:sz w:val="24"/>
          <w:szCs w:val="24"/>
        </w:rPr>
      </w:pPr>
      <w:r w:rsidRPr="00B6619E">
        <w:rPr>
          <w:sz w:val="24"/>
          <w:szCs w:val="24"/>
        </w:rPr>
        <w:t>All values are exclusive of GST and inclusive of provisional sums and any extension options. Procurement must not be split to avoid applicable thresholds, except where works or services are genuinely phased and the scope of subsequent phases is unknown at the outset</w:t>
      </w:r>
    </w:p>
    <w:p w14:paraId="2B1CC079" w14:textId="39483E46" w:rsidR="00ED5E82" w:rsidRPr="00B6619E" w:rsidRDefault="00694501" w:rsidP="00A324D3">
      <w:pPr>
        <w:spacing w:after="240"/>
        <w:ind w:left="425"/>
        <w:jc w:val="both"/>
        <w:rPr>
          <w:sz w:val="24"/>
          <w:szCs w:val="24"/>
        </w:rPr>
      </w:pPr>
      <w:r w:rsidRPr="00B6619E">
        <w:rPr>
          <w:sz w:val="24"/>
          <w:szCs w:val="24"/>
        </w:rPr>
        <w:t>Council procurement methods encompass the following:</w:t>
      </w:r>
    </w:p>
    <w:p w14:paraId="14937CCB" w14:textId="77777777" w:rsidR="007822A5" w:rsidRPr="00B6619E" w:rsidRDefault="007822A5">
      <w:pPr>
        <w:pStyle w:val="Caption"/>
        <w:rPr>
          <w:rFonts w:ascii="Arial" w:hAnsi="Arial"/>
          <w:kern w:val="2"/>
          <w:sz w:val="28"/>
          <w:szCs w:val="28"/>
          <w14:ligatures w14:val="standardContextual"/>
        </w:rPr>
      </w:pPr>
      <w:r w:rsidRPr="00B6619E">
        <w:rPr>
          <w:rFonts w:ascii="Arial" w:hAnsi="Arial"/>
          <w:sz w:val="28"/>
          <w:szCs w:val="28"/>
        </w:rPr>
        <w:t>Table 2: Procurement methods and descriptions</w:t>
      </w:r>
    </w:p>
    <w:tbl>
      <w:tblPr>
        <w:tblStyle w:val="TableGrid"/>
        <w:tblW w:w="0" w:type="auto"/>
        <w:tblInd w:w="426" w:type="dxa"/>
        <w:tblLook w:val="04A0" w:firstRow="1" w:lastRow="0" w:firstColumn="1" w:lastColumn="0" w:noHBand="0" w:noVBand="1"/>
      </w:tblPr>
      <w:tblGrid>
        <w:gridCol w:w="4252"/>
        <w:gridCol w:w="4961"/>
      </w:tblGrid>
      <w:tr w:rsidR="00ED5E82" w:rsidRPr="00B6619E" w14:paraId="5BDAE0A5" w14:textId="77777777" w:rsidTr="00CE17F2">
        <w:trPr>
          <w:cnfStyle w:val="100000000000" w:firstRow="1" w:lastRow="0" w:firstColumn="0" w:lastColumn="0" w:oddVBand="0" w:evenVBand="0" w:oddHBand="0" w:evenHBand="0" w:firstRowFirstColumn="0" w:firstRowLastColumn="0" w:lastRowFirstColumn="0" w:lastRowLastColumn="0"/>
          <w:tblHeader/>
        </w:trPr>
        <w:tc>
          <w:tcPr>
            <w:tcW w:w="4252" w:type="dxa"/>
            <w:shd w:val="clear" w:color="auto" w:fill="00B0F0"/>
          </w:tcPr>
          <w:p w14:paraId="717268AC" w14:textId="34AB535B" w:rsidR="00ED5E82" w:rsidRPr="00B6619E" w:rsidRDefault="00ED5E82" w:rsidP="00694501">
            <w:pPr>
              <w:rPr>
                <w:sz w:val="24"/>
                <w:szCs w:val="24"/>
              </w:rPr>
            </w:pPr>
            <w:r w:rsidRPr="00B6619E">
              <w:rPr>
                <w:sz w:val="24"/>
                <w:szCs w:val="24"/>
              </w:rPr>
              <w:t>Procurement Method</w:t>
            </w:r>
          </w:p>
        </w:tc>
        <w:tc>
          <w:tcPr>
            <w:tcW w:w="4961" w:type="dxa"/>
            <w:shd w:val="clear" w:color="auto" w:fill="00B0F0"/>
          </w:tcPr>
          <w:p w14:paraId="4D2692CF" w14:textId="3008357B" w:rsidR="00ED5E82" w:rsidRPr="00B6619E" w:rsidRDefault="004D7377" w:rsidP="00694501">
            <w:pPr>
              <w:rPr>
                <w:sz w:val="24"/>
                <w:szCs w:val="24"/>
              </w:rPr>
            </w:pPr>
            <w:r w:rsidRPr="00B6619E">
              <w:rPr>
                <w:sz w:val="24"/>
                <w:szCs w:val="24"/>
              </w:rPr>
              <w:t>Description</w:t>
            </w:r>
          </w:p>
        </w:tc>
      </w:tr>
      <w:tr w:rsidR="00ED5E82" w:rsidRPr="00B6619E" w14:paraId="415E8229" w14:textId="77777777" w:rsidTr="00CE17F2">
        <w:tc>
          <w:tcPr>
            <w:tcW w:w="4252" w:type="dxa"/>
            <w:vAlign w:val="center"/>
          </w:tcPr>
          <w:p w14:paraId="76E904C9" w14:textId="1E19DF44" w:rsidR="00ED5E82" w:rsidRPr="00B6619E" w:rsidRDefault="004D7377" w:rsidP="00B630B5">
            <w:pPr>
              <w:pStyle w:val="Body"/>
              <w:spacing w:before="0" w:after="0"/>
              <w:ind w:left="109"/>
              <w:rPr>
                <w:rFonts w:ascii="Arial" w:hAnsi="Arial"/>
                <w:b/>
                <w:bCs/>
                <w:sz w:val="24"/>
                <w:szCs w:val="24"/>
              </w:rPr>
            </w:pPr>
            <w:r w:rsidRPr="00B6619E">
              <w:rPr>
                <w:rFonts w:ascii="Arial" w:hAnsi="Arial"/>
                <w:b/>
                <w:bCs/>
                <w:sz w:val="24"/>
                <w:szCs w:val="24"/>
              </w:rPr>
              <w:t>Purchasing Card</w:t>
            </w:r>
          </w:p>
        </w:tc>
        <w:tc>
          <w:tcPr>
            <w:tcW w:w="4961" w:type="dxa"/>
          </w:tcPr>
          <w:p w14:paraId="646993F8" w14:textId="12CFAD14" w:rsidR="00ED5E82" w:rsidRPr="00B6619E" w:rsidRDefault="00D15661" w:rsidP="00CE17F2">
            <w:pPr>
              <w:pStyle w:val="Body"/>
              <w:spacing w:before="0" w:after="0"/>
              <w:rPr>
                <w:rFonts w:ascii="Arial" w:hAnsi="Arial"/>
                <w:sz w:val="24"/>
                <w:szCs w:val="24"/>
              </w:rPr>
            </w:pPr>
            <w:r w:rsidRPr="00B6619E">
              <w:rPr>
                <w:rFonts w:ascii="Arial" w:hAnsi="Arial"/>
                <w:sz w:val="24"/>
                <w:szCs w:val="24"/>
              </w:rPr>
              <w:t>A bank-issued credit card for use by designated Council personnel for low-value purchasing</w:t>
            </w:r>
          </w:p>
        </w:tc>
      </w:tr>
      <w:tr w:rsidR="00ED5E82" w:rsidRPr="00B6619E" w14:paraId="35F62920" w14:textId="77777777" w:rsidTr="00CE17F2">
        <w:trPr>
          <w:cnfStyle w:val="000000010000" w:firstRow="0" w:lastRow="0" w:firstColumn="0" w:lastColumn="0" w:oddVBand="0" w:evenVBand="0" w:oddHBand="0" w:evenHBand="1" w:firstRowFirstColumn="0" w:firstRowLastColumn="0" w:lastRowFirstColumn="0" w:lastRowLastColumn="0"/>
        </w:trPr>
        <w:tc>
          <w:tcPr>
            <w:tcW w:w="4252" w:type="dxa"/>
            <w:vAlign w:val="center"/>
          </w:tcPr>
          <w:p w14:paraId="61B43C67" w14:textId="6F983032" w:rsidR="00ED5E82" w:rsidRPr="00B6619E" w:rsidRDefault="004D7377" w:rsidP="00B630B5">
            <w:pPr>
              <w:pStyle w:val="Body"/>
              <w:spacing w:before="0" w:after="0"/>
              <w:ind w:left="109"/>
              <w:rPr>
                <w:rFonts w:ascii="Arial" w:hAnsi="Arial"/>
                <w:b/>
                <w:bCs/>
                <w:sz w:val="24"/>
                <w:szCs w:val="24"/>
              </w:rPr>
            </w:pPr>
            <w:r w:rsidRPr="00B6619E">
              <w:rPr>
                <w:rFonts w:ascii="Arial" w:hAnsi="Arial"/>
                <w:b/>
                <w:bCs/>
                <w:sz w:val="24"/>
                <w:szCs w:val="24"/>
              </w:rPr>
              <w:t>Store Card</w:t>
            </w:r>
          </w:p>
        </w:tc>
        <w:tc>
          <w:tcPr>
            <w:tcW w:w="4961" w:type="dxa"/>
          </w:tcPr>
          <w:p w14:paraId="5A7E2FA1" w14:textId="403FAA79" w:rsidR="00ED5E82" w:rsidRPr="00B6619E" w:rsidRDefault="00925666" w:rsidP="00B630B5">
            <w:pPr>
              <w:pStyle w:val="Body"/>
              <w:spacing w:before="0" w:after="0"/>
              <w:rPr>
                <w:rFonts w:ascii="Arial" w:hAnsi="Arial"/>
                <w:sz w:val="24"/>
                <w:szCs w:val="24"/>
              </w:rPr>
            </w:pPr>
            <w:r w:rsidRPr="00B6619E">
              <w:rPr>
                <w:rFonts w:ascii="Arial" w:hAnsi="Arial"/>
                <w:sz w:val="24"/>
                <w:szCs w:val="24"/>
              </w:rPr>
              <w:t xml:space="preserve">A Council approved </w:t>
            </w:r>
            <w:r w:rsidR="006C655E" w:rsidRPr="00B6619E">
              <w:rPr>
                <w:rFonts w:ascii="Arial" w:hAnsi="Arial"/>
                <w:sz w:val="24"/>
                <w:szCs w:val="24"/>
              </w:rPr>
              <w:t xml:space="preserve">store </w:t>
            </w:r>
            <w:r w:rsidRPr="00B6619E">
              <w:rPr>
                <w:rFonts w:ascii="Arial" w:hAnsi="Arial"/>
                <w:sz w:val="24"/>
                <w:szCs w:val="24"/>
              </w:rPr>
              <w:t>card issued by a retailer to Council to enable efficient low-value purchasing from the retailer</w:t>
            </w:r>
          </w:p>
        </w:tc>
      </w:tr>
      <w:tr w:rsidR="00ED5E82" w:rsidRPr="00B6619E" w14:paraId="52395977" w14:textId="77777777" w:rsidTr="00CE17F2">
        <w:tc>
          <w:tcPr>
            <w:tcW w:w="4252" w:type="dxa"/>
            <w:vAlign w:val="center"/>
          </w:tcPr>
          <w:p w14:paraId="3F949135" w14:textId="6DA35DCE" w:rsidR="00ED5E82" w:rsidRPr="00B6619E" w:rsidRDefault="00925666" w:rsidP="00B630B5">
            <w:pPr>
              <w:pStyle w:val="Body"/>
              <w:spacing w:before="0" w:after="0"/>
              <w:ind w:left="109"/>
              <w:rPr>
                <w:rFonts w:ascii="Arial" w:hAnsi="Arial"/>
                <w:b/>
                <w:bCs/>
                <w:sz w:val="24"/>
                <w:szCs w:val="24"/>
              </w:rPr>
            </w:pPr>
            <w:r w:rsidRPr="00B6619E">
              <w:rPr>
                <w:rFonts w:ascii="Arial" w:hAnsi="Arial"/>
                <w:b/>
                <w:bCs/>
                <w:sz w:val="24"/>
                <w:szCs w:val="24"/>
              </w:rPr>
              <w:t>Request for Quotation (RFQ)</w:t>
            </w:r>
          </w:p>
        </w:tc>
        <w:tc>
          <w:tcPr>
            <w:tcW w:w="4961" w:type="dxa"/>
          </w:tcPr>
          <w:p w14:paraId="41937D43" w14:textId="24F24277" w:rsidR="00ED5E82" w:rsidRPr="00B6619E" w:rsidRDefault="00BE3627" w:rsidP="00B630B5">
            <w:pPr>
              <w:pStyle w:val="Body"/>
              <w:spacing w:before="0" w:after="0"/>
              <w:rPr>
                <w:rFonts w:ascii="Arial" w:hAnsi="Arial"/>
                <w:sz w:val="24"/>
                <w:szCs w:val="24"/>
              </w:rPr>
            </w:pPr>
            <w:r w:rsidRPr="00B6619E">
              <w:rPr>
                <w:rFonts w:ascii="Arial" w:hAnsi="Arial"/>
                <w:sz w:val="24"/>
                <w:szCs w:val="24"/>
              </w:rPr>
              <w:t>A process requesting quotations from suppliers for goods, services or works</w:t>
            </w:r>
          </w:p>
        </w:tc>
      </w:tr>
      <w:tr w:rsidR="004D7377" w:rsidRPr="00B6619E" w14:paraId="28C64D51" w14:textId="77777777" w:rsidTr="00CE17F2">
        <w:trPr>
          <w:cnfStyle w:val="000000010000" w:firstRow="0" w:lastRow="0" w:firstColumn="0" w:lastColumn="0" w:oddVBand="0" w:evenVBand="0" w:oddHBand="0" w:evenHBand="1" w:firstRowFirstColumn="0" w:firstRowLastColumn="0" w:lastRowFirstColumn="0" w:lastRowLastColumn="0"/>
        </w:trPr>
        <w:tc>
          <w:tcPr>
            <w:tcW w:w="4252" w:type="dxa"/>
            <w:vAlign w:val="center"/>
          </w:tcPr>
          <w:p w14:paraId="29516E09" w14:textId="3D8317FA" w:rsidR="004D7377" w:rsidRPr="00B6619E" w:rsidRDefault="00925666" w:rsidP="00B630B5">
            <w:pPr>
              <w:pStyle w:val="Body"/>
              <w:spacing w:before="0" w:after="0"/>
              <w:ind w:left="109"/>
              <w:rPr>
                <w:rFonts w:ascii="Arial" w:hAnsi="Arial"/>
                <w:b/>
                <w:bCs/>
                <w:sz w:val="24"/>
                <w:szCs w:val="24"/>
              </w:rPr>
            </w:pPr>
            <w:r w:rsidRPr="00B6619E">
              <w:rPr>
                <w:rFonts w:ascii="Arial" w:hAnsi="Arial"/>
                <w:b/>
                <w:bCs/>
                <w:sz w:val="24"/>
                <w:szCs w:val="24"/>
              </w:rPr>
              <w:t>Request for Tender (RFT)</w:t>
            </w:r>
          </w:p>
        </w:tc>
        <w:tc>
          <w:tcPr>
            <w:tcW w:w="4961" w:type="dxa"/>
          </w:tcPr>
          <w:p w14:paraId="33F713FB" w14:textId="277E74AF" w:rsidR="004D7377" w:rsidRPr="00B6619E" w:rsidRDefault="00BE3627" w:rsidP="00B630B5">
            <w:pPr>
              <w:pStyle w:val="Body"/>
              <w:spacing w:before="0" w:after="0"/>
              <w:rPr>
                <w:rFonts w:ascii="Arial" w:hAnsi="Arial"/>
                <w:sz w:val="24"/>
                <w:szCs w:val="24"/>
              </w:rPr>
            </w:pPr>
            <w:r w:rsidRPr="00B6619E">
              <w:rPr>
                <w:rFonts w:ascii="Arial" w:hAnsi="Arial"/>
                <w:sz w:val="24"/>
                <w:szCs w:val="24"/>
              </w:rPr>
              <w:t>A public tender process</w:t>
            </w:r>
          </w:p>
        </w:tc>
      </w:tr>
      <w:tr w:rsidR="00ED5E82" w:rsidRPr="00B6619E" w14:paraId="17650ED4" w14:textId="77777777" w:rsidTr="00CE17F2">
        <w:tc>
          <w:tcPr>
            <w:tcW w:w="4252" w:type="dxa"/>
            <w:vAlign w:val="center"/>
          </w:tcPr>
          <w:p w14:paraId="7D2A1A2C" w14:textId="064D452F" w:rsidR="00ED5E82" w:rsidRPr="00B6619E" w:rsidRDefault="004D7377" w:rsidP="00B630B5">
            <w:pPr>
              <w:pStyle w:val="Body"/>
              <w:spacing w:before="0" w:after="0"/>
              <w:ind w:left="109"/>
              <w:rPr>
                <w:rFonts w:ascii="Arial" w:hAnsi="Arial"/>
                <w:b/>
                <w:bCs/>
                <w:sz w:val="24"/>
                <w:szCs w:val="24"/>
              </w:rPr>
            </w:pPr>
            <w:r w:rsidRPr="00B6619E">
              <w:rPr>
                <w:rFonts w:ascii="Arial" w:hAnsi="Arial"/>
                <w:b/>
                <w:bCs/>
                <w:sz w:val="24"/>
                <w:szCs w:val="24"/>
              </w:rPr>
              <w:t>Expression of Interest (EOI)</w:t>
            </w:r>
          </w:p>
        </w:tc>
        <w:tc>
          <w:tcPr>
            <w:tcW w:w="4961" w:type="dxa"/>
          </w:tcPr>
          <w:p w14:paraId="533AF20F" w14:textId="7E719214" w:rsidR="00ED5E82" w:rsidRPr="00B6619E" w:rsidRDefault="00BE3627" w:rsidP="00B630B5">
            <w:pPr>
              <w:pStyle w:val="Body"/>
              <w:spacing w:before="0" w:after="0"/>
              <w:rPr>
                <w:rFonts w:ascii="Arial" w:hAnsi="Arial"/>
                <w:sz w:val="24"/>
                <w:szCs w:val="24"/>
              </w:rPr>
            </w:pPr>
            <w:r w:rsidRPr="00B6619E">
              <w:rPr>
                <w:rFonts w:ascii="Arial" w:hAnsi="Arial"/>
                <w:sz w:val="24"/>
                <w:szCs w:val="24"/>
              </w:rPr>
              <w:t>The first stage of a two-stage procurement process of which the second stage is a restricted request for tender process</w:t>
            </w:r>
          </w:p>
        </w:tc>
      </w:tr>
      <w:tr w:rsidR="00ED5E82" w:rsidRPr="00B6619E" w14:paraId="5F9E5B45" w14:textId="77777777" w:rsidTr="00CE17F2">
        <w:trPr>
          <w:cnfStyle w:val="000000010000" w:firstRow="0" w:lastRow="0" w:firstColumn="0" w:lastColumn="0" w:oddVBand="0" w:evenVBand="0" w:oddHBand="0" w:evenHBand="1" w:firstRowFirstColumn="0" w:firstRowLastColumn="0" w:lastRowFirstColumn="0" w:lastRowLastColumn="0"/>
        </w:trPr>
        <w:tc>
          <w:tcPr>
            <w:tcW w:w="4252" w:type="dxa"/>
            <w:vAlign w:val="center"/>
          </w:tcPr>
          <w:p w14:paraId="1AF6ABA4" w14:textId="3F27D17F" w:rsidR="00ED5E82" w:rsidRPr="00B6619E" w:rsidRDefault="004D7377" w:rsidP="00B630B5">
            <w:pPr>
              <w:pStyle w:val="Body"/>
              <w:spacing w:before="0" w:after="0"/>
              <w:ind w:left="109"/>
              <w:rPr>
                <w:rFonts w:ascii="Arial" w:hAnsi="Arial"/>
                <w:b/>
                <w:bCs/>
                <w:sz w:val="24"/>
                <w:szCs w:val="24"/>
              </w:rPr>
            </w:pPr>
            <w:r w:rsidRPr="00B6619E">
              <w:rPr>
                <w:rFonts w:ascii="Arial" w:hAnsi="Arial"/>
                <w:b/>
                <w:bCs/>
                <w:sz w:val="24"/>
                <w:szCs w:val="24"/>
              </w:rPr>
              <w:t xml:space="preserve">Sole-Sourcing or Select Sourcing Arrangements </w:t>
            </w:r>
          </w:p>
        </w:tc>
        <w:tc>
          <w:tcPr>
            <w:tcW w:w="4961" w:type="dxa"/>
          </w:tcPr>
          <w:p w14:paraId="04237724" w14:textId="7662A9E3" w:rsidR="00ED5E82" w:rsidRPr="00B6619E" w:rsidRDefault="000756D0" w:rsidP="00B630B5">
            <w:pPr>
              <w:pStyle w:val="Body"/>
              <w:spacing w:before="0" w:after="0"/>
              <w:rPr>
                <w:rFonts w:ascii="Arial" w:hAnsi="Arial"/>
                <w:sz w:val="24"/>
                <w:szCs w:val="24"/>
              </w:rPr>
            </w:pPr>
            <w:r w:rsidRPr="00B6619E">
              <w:rPr>
                <w:rFonts w:ascii="Arial" w:hAnsi="Arial"/>
                <w:sz w:val="24"/>
                <w:szCs w:val="24"/>
              </w:rPr>
              <w:t>Direct sourcing from a single or limited number of suppliers, permitted under specific circumstances set out in this Policy</w:t>
            </w:r>
          </w:p>
        </w:tc>
      </w:tr>
      <w:tr w:rsidR="004D7377" w:rsidRPr="00B6619E" w14:paraId="355DD05C" w14:textId="77777777" w:rsidTr="00CE17F2">
        <w:tc>
          <w:tcPr>
            <w:tcW w:w="4252" w:type="dxa"/>
            <w:vAlign w:val="center"/>
          </w:tcPr>
          <w:p w14:paraId="2CBDC46B" w14:textId="5B40F512" w:rsidR="004D7377" w:rsidRPr="00B6619E" w:rsidRDefault="004D7377" w:rsidP="00B630B5">
            <w:pPr>
              <w:pStyle w:val="Body"/>
              <w:spacing w:before="0" w:after="0"/>
              <w:ind w:left="109"/>
              <w:rPr>
                <w:rFonts w:ascii="Arial" w:hAnsi="Arial"/>
                <w:b/>
                <w:bCs/>
                <w:sz w:val="24"/>
                <w:szCs w:val="24"/>
              </w:rPr>
            </w:pPr>
            <w:r w:rsidRPr="00B6619E">
              <w:rPr>
                <w:rFonts w:ascii="Arial" w:hAnsi="Arial"/>
                <w:b/>
                <w:bCs/>
                <w:sz w:val="24"/>
                <w:szCs w:val="24"/>
              </w:rPr>
              <w:t>Agency Contracts</w:t>
            </w:r>
          </w:p>
        </w:tc>
        <w:tc>
          <w:tcPr>
            <w:tcW w:w="4961" w:type="dxa"/>
          </w:tcPr>
          <w:p w14:paraId="072519DC" w14:textId="14E8CAB6" w:rsidR="004D7377" w:rsidRPr="00B6619E" w:rsidRDefault="00CB2862" w:rsidP="00B630B5">
            <w:pPr>
              <w:pStyle w:val="Body"/>
              <w:spacing w:before="0" w:after="0"/>
              <w:rPr>
                <w:rFonts w:ascii="Arial" w:hAnsi="Arial"/>
                <w:sz w:val="24"/>
                <w:szCs w:val="24"/>
              </w:rPr>
            </w:pPr>
            <w:r w:rsidRPr="00B6619E">
              <w:rPr>
                <w:rFonts w:ascii="Arial" w:hAnsi="Arial"/>
                <w:sz w:val="24"/>
                <w:szCs w:val="24"/>
              </w:rPr>
              <w:t xml:space="preserve">Contracts established by approved third-party agents where Council is eligible to participate, including </w:t>
            </w:r>
            <w:r w:rsidRPr="00B6619E">
              <w:rPr>
                <w:rFonts w:ascii="Arial" w:hAnsi="Arial"/>
                <w:sz w:val="24"/>
                <w:szCs w:val="24"/>
                <w:lang w:val="en-AU"/>
              </w:rPr>
              <w:t xml:space="preserve">MAV Procurement, Procurement Australia and Victorian Government </w:t>
            </w:r>
            <w:r w:rsidRPr="00B6619E">
              <w:rPr>
                <w:rFonts w:ascii="Arial" w:hAnsi="Arial"/>
                <w:sz w:val="24"/>
                <w:szCs w:val="24"/>
              </w:rPr>
              <w:t xml:space="preserve">State Purchase Contracts </w:t>
            </w:r>
          </w:p>
        </w:tc>
      </w:tr>
      <w:tr w:rsidR="004D7377" w:rsidRPr="00B6619E" w14:paraId="39E268EF" w14:textId="77777777" w:rsidTr="00CE17F2">
        <w:trPr>
          <w:cnfStyle w:val="000000010000" w:firstRow="0" w:lastRow="0" w:firstColumn="0" w:lastColumn="0" w:oddVBand="0" w:evenVBand="0" w:oddHBand="0" w:evenHBand="1" w:firstRowFirstColumn="0" w:firstRowLastColumn="0" w:lastRowFirstColumn="0" w:lastRowLastColumn="0"/>
        </w:trPr>
        <w:tc>
          <w:tcPr>
            <w:tcW w:w="4252" w:type="dxa"/>
            <w:vAlign w:val="center"/>
          </w:tcPr>
          <w:p w14:paraId="6B0F1F2E" w14:textId="2522D6E5" w:rsidR="004D7377" w:rsidRPr="00B6619E" w:rsidRDefault="00D15661" w:rsidP="00B630B5">
            <w:pPr>
              <w:pStyle w:val="Body"/>
              <w:spacing w:before="0" w:after="0"/>
              <w:ind w:left="109"/>
              <w:rPr>
                <w:rFonts w:ascii="Arial" w:hAnsi="Arial"/>
                <w:b/>
                <w:bCs/>
                <w:sz w:val="24"/>
                <w:szCs w:val="24"/>
              </w:rPr>
            </w:pPr>
            <w:r w:rsidRPr="00B6619E">
              <w:rPr>
                <w:rFonts w:ascii="Arial" w:hAnsi="Arial"/>
                <w:b/>
                <w:bCs/>
                <w:sz w:val="24"/>
                <w:szCs w:val="24"/>
              </w:rPr>
              <w:t>Victorian State Government Supplier Registers</w:t>
            </w:r>
          </w:p>
        </w:tc>
        <w:tc>
          <w:tcPr>
            <w:tcW w:w="4961" w:type="dxa"/>
          </w:tcPr>
          <w:p w14:paraId="3E2C05AC" w14:textId="088E5F85" w:rsidR="004D7377" w:rsidRPr="00B6619E" w:rsidRDefault="00913985" w:rsidP="00694501">
            <w:pPr>
              <w:rPr>
                <w:sz w:val="24"/>
                <w:szCs w:val="24"/>
              </w:rPr>
            </w:pPr>
            <w:r w:rsidRPr="00B6619E">
              <w:rPr>
                <w:sz w:val="24"/>
                <w:szCs w:val="24"/>
              </w:rPr>
              <w:t>State Government registers of pre-qualified suppliers for which Council is eligible to participate</w:t>
            </w:r>
          </w:p>
        </w:tc>
      </w:tr>
      <w:tr w:rsidR="004D7377" w:rsidRPr="00B6619E" w14:paraId="3A283383" w14:textId="77777777" w:rsidTr="00CE17F2">
        <w:tc>
          <w:tcPr>
            <w:tcW w:w="4252" w:type="dxa"/>
            <w:vAlign w:val="center"/>
          </w:tcPr>
          <w:p w14:paraId="3DE05D4F" w14:textId="2B81B438" w:rsidR="004D7377" w:rsidRPr="00B6619E" w:rsidRDefault="00D15661" w:rsidP="00B630B5">
            <w:pPr>
              <w:pStyle w:val="Body"/>
              <w:spacing w:before="0" w:after="0"/>
              <w:ind w:left="109"/>
              <w:rPr>
                <w:rFonts w:ascii="Arial" w:hAnsi="Arial"/>
                <w:b/>
                <w:bCs/>
                <w:sz w:val="24"/>
                <w:szCs w:val="24"/>
              </w:rPr>
            </w:pPr>
            <w:r w:rsidRPr="00B6619E">
              <w:rPr>
                <w:rFonts w:ascii="Arial" w:hAnsi="Arial"/>
                <w:b/>
                <w:bCs/>
                <w:sz w:val="24"/>
                <w:szCs w:val="24"/>
              </w:rPr>
              <w:t>Ministerial Approved Arrangements</w:t>
            </w:r>
          </w:p>
        </w:tc>
        <w:tc>
          <w:tcPr>
            <w:tcW w:w="4961" w:type="dxa"/>
          </w:tcPr>
          <w:p w14:paraId="63687A49" w14:textId="5F3CDFEA" w:rsidR="004D7377" w:rsidRPr="00B6619E" w:rsidRDefault="00D15661" w:rsidP="00B630B5">
            <w:pPr>
              <w:pStyle w:val="Body"/>
              <w:spacing w:before="0" w:after="0"/>
              <w:rPr>
                <w:rFonts w:ascii="Arial" w:hAnsi="Arial"/>
                <w:sz w:val="24"/>
                <w:szCs w:val="24"/>
              </w:rPr>
            </w:pPr>
            <w:r w:rsidRPr="00B6619E">
              <w:rPr>
                <w:rFonts w:ascii="Arial" w:hAnsi="Arial"/>
                <w:sz w:val="24"/>
                <w:szCs w:val="24"/>
              </w:rPr>
              <w:t>A contract entered into under an arrangement approved by the Minister for Local Government</w:t>
            </w:r>
          </w:p>
        </w:tc>
      </w:tr>
      <w:tr w:rsidR="004D7377" w:rsidRPr="00B6619E" w14:paraId="39608F9E" w14:textId="77777777" w:rsidTr="00CE17F2">
        <w:trPr>
          <w:cnfStyle w:val="000000010000" w:firstRow="0" w:lastRow="0" w:firstColumn="0" w:lastColumn="0" w:oddVBand="0" w:evenVBand="0" w:oddHBand="0" w:evenHBand="1" w:firstRowFirstColumn="0" w:firstRowLastColumn="0" w:lastRowFirstColumn="0" w:lastRowLastColumn="0"/>
        </w:trPr>
        <w:tc>
          <w:tcPr>
            <w:tcW w:w="4252" w:type="dxa"/>
            <w:vAlign w:val="center"/>
          </w:tcPr>
          <w:p w14:paraId="4A1CC420" w14:textId="1CD13EF4" w:rsidR="004D7377" w:rsidRPr="00B6619E" w:rsidRDefault="004D7377" w:rsidP="00B630B5">
            <w:pPr>
              <w:pStyle w:val="Body"/>
              <w:spacing w:before="0" w:after="0"/>
              <w:ind w:left="109"/>
              <w:rPr>
                <w:rFonts w:ascii="Arial" w:hAnsi="Arial"/>
                <w:b/>
                <w:bCs/>
                <w:sz w:val="24"/>
                <w:szCs w:val="24"/>
              </w:rPr>
            </w:pPr>
            <w:r w:rsidRPr="00B6619E">
              <w:rPr>
                <w:rFonts w:ascii="Arial" w:hAnsi="Arial"/>
                <w:b/>
                <w:bCs/>
                <w:sz w:val="24"/>
                <w:szCs w:val="24"/>
              </w:rPr>
              <w:t>Collaborative Procurement</w:t>
            </w:r>
          </w:p>
        </w:tc>
        <w:tc>
          <w:tcPr>
            <w:tcW w:w="4961" w:type="dxa"/>
          </w:tcPr>
          <w:p w14:paraId="4C9CE095" w14:textId="407CF383" w:rsidR="004D7377" w:rsidRPr="00B6619E" w:rsidRDefault="00925666" w:rsidP="00B630B5">
            <w:pPr>
              <w:pStyle w:val="Body"/>
              <w:spacing w:before="0" w:after="0"/>
              <w:rPr>
                <w:rFonts w:ascii="Arial" w:hAnsi="Arial"/>
                <w:sz w:val="24"/>
                <w:szCs w:val="24"/>
              </w:rPr>
            </w:pPr>
            <w:r w:rsidRPr="00B6619E">
              <w:rPr>
                <w:rFonts w:ascii="Arial" w:hAnsi="Arial"/>
                <w:sz w:val="24"/>
                <w:szCs w:val="24"/>
              </w:rPr>
              <w:t>a procurement activity conducted in collaboration with other local government authorities</w:t>
            </w:r>
          </w:p>
        </w:tc>
      </w:tr>
    </w:tbl>
    <w:p w14:paraId="22E230A9" w14:textId="77777777" w:rsidR="00694501" w:rsidRPr="002C7F3A" w:rsidRDefault="00694501" w:rsidP="009F1E3B">
      <w:pPr>
        <w:pStyle w:val="proc1"/>
        <w:numPr>
          <w:ilvl w:val="1"/>
          <w:numId w:val="11"/>
        </w:numPr>
        <w:rPr>
          <w:sz w:val="28"/>
          <w:szCs w:val="28"/>
        </w:rPr>
      </w:pPr>
      <w:bookmarkStart w:id="669" w:name="_Toc84884782"/>
      <w:bookmarkStart w:id="670" w:name="_Toc85461568"/>
      <w:bookmarkStart w:id="671" w:name="_Toc240536457"/>
      <w:r w:rsidRPr="002C7F3A">
        <w:rPr>
          <w:sz w:val="28"/>
          <w:szCs w:val="28"/>
        </w:rPr>
        <w:t>Procurement Thresholds and Competition</w:t>
      </w:r>
      <w:bookmarkEnd w:id="669"/>
      <w:bookmarkEnd w:id="670"/>
      <w:bookmarkEnd w:id="671"/>
    </w:p>
    <w:p w14:paraId="3AFCC10D" w14:textId="77777777" w:rsidR="00D45786" w:rsidRPr="001477F9" w:rsidRDefault="00D45786" w:rsidP="00A324D3">
      <w:pPr>
        <w:spacing w:after="240"/>
        <w:ind w:left="425"/>
        <w:jc w:val="both"/>
        <w:rPr>
          <w:sz w:val="24"/>
          <w:szCs w:val="24"/>
        </w:rPr>
      </w:pPr>
      <w:r w:rsidRPr="001477F9">
        <w:rPr>
          <w:sz w:val="24"/>
          <w:szCs w:val="24"/>
        </w:rPr>
        <w:t>Council seeks offers from the market based on the value and nature of what is being purchased. The way Council buys goods, services or works depends on the total contract value, which includes the full length of the contract, any extension options, and other foreseeable costs.</w:t>
      </w:r>
    </w:p>
    <w:p w14:paraId="0D86E6CB" w14:textId="77777777" w:rsidR="00D45786" w:rsidRPr="001477F9" w:rsidRDefault="00D45786" w:rsidP="00A324D3">
      <w:pPr>
        <w:spacing w:after="240"/>
        <w:ind w:left="425"/>
        <w:jc w:val="both"/>
        <w:rPr>
          <w:sz w:val="24"/>
          <w:szCs w:val="24"/>
        </w:rPr>
      </w:pPr>
      <w:r w:rsidRPr="001477F9">
        <w:rPr>
          <w:sz w:val="24"/>
          <w:szCs w:val="24"/>
        </w:rPr>
        <w:t>For higher</w:t>
      </w:r>
      <w:r w:rsidRPr="001477F9">
        <w:rPr>
          <w:rFonts w:ascii="Cambria Math" w:hAnsi="Cambria Math" w:cs="Cambria Math"/>
          <w:sz w:val="24"/>
          <w:szCs w:val="24"/>
        </w:rPr>
        <w:t>‑</w:t>
      </w:r>
      <w:r w:rsidRPr="001477F9">
        <w:rPr>
          <w:sz w:val="24"/>
          <w:szCs w:val="24"/>
        </w:rPr>
        <w:t>value purchases, Council is required to run a public tender so that suppliers can compete openly and transparently. As a general rule, any procurement with a total contract value over $300,000 (excluding GST) must be publicly tendered, unless a clearly justified exemption applies.</w:t>
      </w:r>
    </w:p>
    <w:p w14:paraId="51E27A5C" w14:textId="585B4C92" w:rsidR="00C64BE4" w:rsidRPr="001477F9" w:rsidRDefault="00D45786" w:rsidP="00A324D3">
      <w:pPr>
        <w:pStyle w:val="Body"/>
        <w:spacing w:before="0" w:after="0"/>
        <w:ind w:left="425"/>
        <w:rPr>
          <w:rFonts w:ascii="Arial" w:hAnsi="Arial"/>
          <w:sz w:val="24"/>
          <w:szCs w:val="24"/>
          <w:highlight w:val="yellow"/>
        </w:rPr>
      </w:pPr>
      <w:r w:rsidRPr="001477F9">
        <w:rPr>
          <w:rFonts w:ascii="Arial" w:hAnsi="Arial"/>
          <w:sz w:val="24"/>
          <w:szCs w:val="24"/>
          <w:lang w:val="en-AU" w:eastAsia="en-AU"/>
        </w:rPr>
        <w:t>Council does not split purchases into smaller parts to avoid the need for quotes or tenders. This is only allowed where work is genuinely staged and later phases cannot reasonably be defined at the outset, or where additional work is required due to unforeseen circumstances.</w:t>
      </w:r>
    </w:p>
    <w:p w14:paraId="5DB7299D" w14:textId="77777777" w:rsidR="00694501" w:rsidRPr="002C7F3A" w:rsidRDefault="00694501" w:rsidP="009F1E3B">
      <w:pPr>
        <w:pStyle w:val="proc1"/>
        <w:numPr>
          <w:ilvl w:val="1"/>
          <w:numId w:val="11"/>
        </w:numPr>
        <w:rPr>
          <w:sz w:val="28"/>
          <w:szCs w:val="28"/>
        </w:rPr>
      </w:pPr>
      <w:bookmarkStart w:id="672" w:name="_Toc84884783"/>
      <w:bookmarkStart w:id="673" w:name="_Toc85461569"/>
      <w:bookmarkStart w:id="674" w:name="_Toc240536458"/>
      <w:r w:rsidRPr="002C7F3A">
        <w:rPr>
          <w:sz w:val="28"/>
          <w:szCs w:val="28"/>
        </w:rPr>
        <w:t>Tenders</w:t>
      </w:r>
      <w:bookmarkEnd w:id="672"/>
      <w:bookmarkEnd w:id="673"/>
      <w:bookmarkEnd w:id="674"/>
    </w:p>
    <w:p w14:paraId="585BD41F" w14:textId="419555FB" w:rsidR="00030FBA" w:rsidRPr="001477F9" w:rsidRDefault="00694501" w:rsidP="00A324D3">
      <w:pPr>
        <w:spacing w:after="240"/>
        <w:ind w:left="425"/>
        <w:jc w:val="both"/>
        <w:rPr>
          <w:sz w:val="24"/>
          <w:szCs w:val="24"/>
        </w:rPr>
      </w:pPr>
      <w:r w:rsidRPr="001477F9">
        <w:rPr>
          <w:sz w:val="24"/>
          <w:szCs w:val="24"/>
        </w:rPr>
        <w:t xml:space="preserve">All public tenders must be published via Council’s tendering portal and advertised in appropriate media and community portals.  </w:t>
      </w:r>
    </w:p>
    <w:p w14:paraId="0FD4BE12" w14:textId="44469600" w:rsidR="00FC64A6" w:rsidRPr="001477F9" w:rsidRDefault="00B768FA" w:rsidP="009B37D6">
      <w:pPr>
        <w:spacing w:after="240"/>
        <w:ind w:left="425"/>
        <w:jc w:val="both"/>
        <w:rPr>
          <w:sz w:val="24"/>
          <w:szCs w:val="24"/>
        </w:rPr>
      </w:pPr>
      <w:r w:rsidRPr="001477F9">
        <w:rPr>
          <w:sz w:val="24"/>
          <w:szCs w:val="24"/>
        </w:rPr>
        <w:t>The Strategic Procurement Branch will determine the appropriate advertising approach and tender period having regard to the complexity of the procurement and relevant market conditions.</w:t>
      </w:r>
    </w:p>
    <w:p w14:paraId="3041E4FD" w14:textId="49D6F390" w:rsidR="00FC64A6" w:rsidRPr="001477F9" w:rsidRDefault="001B319C" w:rsidP="00A324D3">
      <w:pPr>
        <w:pStyle w:val="Body"/>
        <w:spacing w:before="0" w:after="0"/>
        <w:ind w:left="425"/>
        <w:rPr>
          <w:rFonts w:ascii="Arial" w:hAnsi="Arial"/>
          <w:sz w:val="24"/>
          <w:szCs w:val="24"/>
        </w:rPr>
      </w:pPr>
      <w:r w:rsidRPr="001477F9">
        <w:rPr>
          <w:rFonts w:ascii="Arial" w:hAnsi="Arial"/>
          <w:b/>
          <w:bCs/>
          <w:sz w:val="24"/>
          <w:szCs w:val="24"/>
          <w:lang w:val="en-AU" w:eastAsia="en-AU"/>
        </w:rPr>
        <w:t>Note:</w:t>
      </w:r>
      <w:r w:rsidRPr="001477F9">
        <w:rPr>
          <w:rFonts w:ascii="Arial" w:hAnsi="Arial"/>
          <w:sz w:val="24"/>
          <w:szCs w:val="24"/>
          <w:lang w:val="en-AU" w:eastAsia="en-AU"/>
        </w:rPr>
        <w:t xml:space="preserve"> Advertising at times of major holidays such as Easter, Christmas and early January should be avoided. If it is necessary to advertise at these times, the closing date will be extended to accommodate these holiday periods.</w:t>
      </w:r>
    </w:p>
    <w:p w14:paraId="0858F994" w14:textId="77777777" w:rsidR="00B768FA" w:rsidRPr="001477F9" w:rsidRDefault="00B768FA" w:rsidP="00A324D3">
      <w:pPr>
        <w:pStyle w:val="Body"/>
        <w:spacing w:before="0" w:after="0"/>
        <w:ind w:left="425"/>
        <w:rPr>
          <w:rFonts w:ascii="Arial" w:hAnsi="Arial"/>
          <w:sz w:val="24"/>
          <w:szCs w:val="24"/>
        </w:rPr>
      </w:pPr>
    </w:p>
    <w:p w14:paraId="2E9CFC93" w14:textId="77777777" w:rsidR="00694501" w:rsidRPr="002C7F3A" w:rsidRDefault="00694501" w:rsidP="009F1E3B">
      <w:pPr>
        <w:pStyle w:val="proc1"/>
        <w:numPr>
          <w:ilvl w:val="1"/>
          <w:numId w:val="11"/>
        </w:numPr>
        <w:rPr>
          <w:sz w:val="28"/>
          <w:szCs w:val="28"/>
        </w:rPr>
      </w:pPr>
      <w:bookmarkStart w:id="675" w:name="_Toc84884784"/>
      <w:bookmarkStart w:id="676" w:name="_Toc85461570"/>
      <w:bookmarkStart w:id="677" w:name="_Toc240536459"/>
      <w:r w:rsidRPr="002C7F3A">
        <w:rPr>
          <w:sz w:val="28"/>
          <w:szCs w:val="28"/>
        </w:rPr>
        <w:t>Tender evaluation</w:t>
      </w:r>
      <w:bookmarkEnd w:id="675"/>
      <w:bookmarkEnd w:id="676"/>
      <w:bookmarkEnd w:id="677"/>
    </w:p>
    <w:p w14:paraId="1F138049" w14:textId="57C258A8" w:rsidR="00FC64A6" w:rsidRPr="001477F9" w:rsidRDefault="00743062" w:rsidP="00A324D3">
      <w:pPr>
        <w:spacing w:after="240"/>
        <w:ind w:left="425"/>
        <w:jc w:val="both"/>
        <w:rPr>
          <w:sz w:val="24"/>
          <w:szCs w:val="24"/>
        </w:rPr>
      </w:pPr>
      <w:r w:rsidRPr="001477F9">
        <w:rPr>
          <w:sz w:val="24"/>
          <w:szCs w:val="24"/>
        </w:rPr>
        <w:t xml:space="preserve">Tenders will be evaluated by a panel established for each </w:t>
      </w:r>
      <w:r w:rsidR="00937885" w:rsidRPr="001477F9">
        <w:rPr>
          <w:sz w:val="24"/>
          <w:szCs w:val="24"/>
        </w:rPr>
        <w:t xml:space="preserve">formal </w:t>
      </w:r>
      <w:r w:rsidRPr="001477F9">
        <w:rPr>
          <w:sz w:val="24"/>
          <w:szCs w:val="24"/>
        </w:rPr>
        <w:t>procurement</w:t>
      </w:r>
      <w:r w:rsidR="00937885" w:rsidRPr="001477F9">
        <w:rPr>
          <w:sz w:val="24"/>
          <w:szCs w:val="24"/>
        </w:rPr>
        <w:t xml:space="preserve"> activity</w:t>
      </w:r>
      <w:r w:rsidRPr="001477F9">
        <w:rPr>
          <w:sz w:val="24"/>
          <w:szCs w:val="24"/>
        </w:rPr>
        <w:t xml:space="preserve">, in accordance with the evaluation methodology set out in the Procurement Manual. Panels may include external personnel where they possess specific technical knowledge relevant to the procurement. </w:t>
      </w:r>
      <w:r w:rsidR="00DB4317" w:rsidRPr="001477F9">
        <w:rPr>
          <w:sz w:val="24"/>
          <w:szCs w:val="24"/>
        </w:rPr>
        <w:t>Requirements relating to conflicts</w:t>
      </w:r>
      <w:r w:rsidRPr="001477F9">
        <w:rPr>
          <w:sz w:val="24"/>
          <w:szCs w:val="24"/>
        </w:rPr>
        <w:t xml:space="preserve"> of interest </w:t>
      </w:r>
      <w:r w:rsidR="00DB4317" w:rsidRPr="001477F9">
        <w:rPr>
          <w:sz w:val="24"/>
          <w:szCs w:val="24"/>
        </w:rPr>
        <w:t>for external panel members are set out in section 7</w:t>
      </w:r>
      <w:r w:rsidRPr="001477F9">
        <w:rPr>
          <w:sz w:val="24"/>
          <w:szCs w:val="24"/>
        </w:rPr>
        <w:t>.</w:t>
      </w:r>
      <w:r w:rsidR="00D149F1" w:rsidRPr="001477F9">
        <w:rPr>
          <w:sz w:val="24"/>
          <w:szCs w:val="24"/>
        </w:rPr>
        <w:t>2.4(c).</w:t>
      </w:r>
      <w:r w:rsidRPr="001477F9">
        <w:rPr>
          <w:sz w:val="24"/>
          <w:szCs w:val="24"/>
        </w:rPr>
        <w:t xml:space="preserve"> </w:t>
      </w:r>
    </w:p>
    <w:p w14:paraId="66235402" w14:textId="7BAFB72F" w:rsidR="00743062" w:rsidRPr="001477F9" w:rsidRDefault="00743062" w:rsidP="00A324D3">
      <w:pPr>
        <w:spacing w:after="240"/>
        <w:ind w:left="425"/>
        <w:jc w:val="both"/>
        <w:rPr>
          <w:sz w:val="24"/>
          <w:szCs w:val="24"/>
        </w:rPr>
      </w:pPr>
      <w:r w:rsidRPr="001477F9">
        <w:rPr>
          <w:sz w:val="24"/>
          <w:szCs w:val="24"/>
        </w:rPr>
        <w:t>Council will seek to achieve gender diversity in panel composition as a matter of good practice, where practicable. Where a contract is to be awarded by Council or the CEO, a manager-level officer must be included on the Tender Evaluation Panel.</w:t>
      </w:r>
    </w:p>
    <w:p w14:paraId="11D36951" w14:textId="77777777" w:rsidR="00694501" w:rsidRPr="002C7F3A" w:rsidRDefault="00694501" w:rsidP="009F1E3B">
      <w:pPr>
        <w:pStyle w:val="proc1"/>
        <w:numPr>
          <w:ilvl w:val="1"/>
          <w:numId w:val="11"/>
        </w:numPr>
        <w:rPr>
          <w:sz w:val="28"/>
          <w:szCs w:val="28"/>
        </w:rPr>
      </w:pPr>
      <w:bookmarkStart w:id="678" w:name="_Toc84884785"/>
      <w:bookmarkStart w:id="679" w:name="_Toc85461571"/>
      <w:bookmarkStart w:id="680" w:name="_Toc240536460"/>
      <w:r w:rsidRPr="002C7F3A">
        <w:rPr>
          <w:sz w:val="28"/>
          <w:szCs w:val="28"/>
        </w:rPr>
        <w:t>Evaluation Criteria</w:t>
      </w:r>
      <w:bookmarkEnd w:id="678"/>
      <w:bookmarkEnd w:id="679"/>
      <w:bookmarkEnd w:id="680"/>
    </w:p>
    <w:p w14:paraId="5FFCBEBD" w14:textId="44139C67" w:rsidR="00ED50E9" w:rsidRPr="001477F9" w:rsidRDefault="00ED50E9" w:rsidP="00A324D3">
      <w:pPr>
        <w:spacing w:after="240"/>
        <w:ind w:left="425"/>
        <w:jc w:val="both"/>
        <w:rPr>
          <w:sz w:val="24"/>
          <w:szCs w:val="24"/>
        </w:rPr>
      </w:pPr>
      <w:r w:rsidRPr="001477F9">
        <w:rPr>
          <w:sz w:val="24"/>
          <w:szCs w:val="24"/>
        </w:rPr>
        <w:t>Evaluation criteria must address both qualitative (non-financial) and quantitative (financial) factors to assess Value for Money. Criteria must be determined</w:t>
      </w:r>
      <w:r w:rsidR="00D26487" w:rsidRPr="001477F9">
        <w:rPr>
          <w:sz w:val="24"/>
          <w:szCs w:val="24"/>
        </w:rPr>
        <w:t>, in line with this policy,</w:t>
      </w:r>
      <w:r w:rsidRPr="001477F9">
        <w:rPr>
          <w:sz w:val="24"/>
          <w:szCs w:val="24"/>
        </w:rPr>
        <w:t xml:space="preserve"> before approaching the market and must be proportionate to the value and complexity of the procurement.</w:t>
      </w:r>
    </w:p>
    <w:p w14:paraId="38E7C2A1" w14:textId="720B7EA3" w:rsidR="00694501" w:rsidRPr="002C7F3A" w:rsidRDefault="00307366" w:rsidP="009F1E3B">
      <w:pPr>
        <w:pStyle w:val="proc1"/>
        <w:numPr>
          <w:ilvl w:val="1"/>
          <w:numId w:val="11"/>
        </w:numPr>
        <w:rPr>
          <w:sz w:val="28"/>
          <w:szCs w:val="28"/>
        </w:rPr>
      </w:pPr>
      <w:bookmarkStart w:id="681" w:name="_Toc227674584"/>
      <w:bookmarkStart w:id="682" w:name="_Toc227674721"/>
      <w:bookmarkStart w:id="683" w:name="_Toc227674856"/>
      <w:bookmarkStart w:id="684" w:name="_Toc227674993"/>
      <w:bookmarkStart w:id="685" w:name="_Toc227675130"/>
      <w:bookmarkStart w:id="686" w:name="_Toc227675267"/>
      <w:bookmarkStart w:id="687" w:name="_Toc227675404"/>
      <w:bookmarkStart w:id="688" w:name="_Toc227675541"/>
      <w:bookmarkStart w:id="689" w:name="_Toc227675679"/>
      <w:bookmarkStart w:id="690" w:name="_Toc227675813"/>
      <w:bookmarkStart w:id="691" w:name="_Toc227675947"/>
      <w:bookmarkStart w:id="692" w:name="_Toc227674585"/>
      <w:bookmarkStart w:id="693" w:name="_Toc227674722"/>
      <w:bookmarkStart w:id="694" w:name="_Toc227674857"/>
      <w:bookmarkStart w:id="695" w:name="_Toc227674994"/>
      <w:bookmarkStart w:id="696" w:name="_Toc227675131"/>
      <w:bookmarkStart w:id="697" w:name="_Toc227675268"/>
      <w:bookmarkStart w:id="698" w:name="_Toc227675405"/>
      <w:bookmarkStart w:id="699" w:name="_Toc227675542"/>
      <w:bookmarkStart w:id="700" w:name="_Toc227675680"/>
      <w:bookmarkStart w:id="701" w:name="_Toc227675814"/>
      <w:bookmarkStart w:id="702" w:name="_Toc227675948"/>
      <w:bookmarkStart w:id="703" w:name="_Toc227674586"/>
      <w:bookmarkStart w:id="704" w:name="_Toc227674723"/>
      <w:bookmarkStart w:id="705" w:name="_Toc227674858"/>
      <w:bookmarkStart w:id="706" w:name="_Toc227674995"/>
      <w:bookmarkStart w:id="707" w:name="_Toc227675132"/>
      <w:bookmarkStart w:id="708" w:name="_Toc227675269"/>
      <w:bookmarkStart w:id="709" w:name="_Toc227675406"/>
      <w:bookmarkStart w:id="710" w:name="_Toc227675543"/>
      <w:bookmarkStart w:id="711" w:name="_Toc227675681"/>
      <w:bookmarkStart w:id="712" w:name="_Toc227675815"/>
      <w:bookmarkStart w:id="713" w:name="_Toc227675949"/>
      <w:bookmarkStart w:id="714" w:name="_Toc84884786"/>
      <w:bookmarkStart w:id="715" w:name="_Toc85461572"/>
      <w:bookmarkStart w:id="716" w:name="_Toc240536461"/>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r w:rsidRPr="002C7F3A">
        <w:rPr>
          <w:sz w:val="28"/>
          <w:szCs w:val="28"/>
        </w:rPr>
        <w:t>Best and Final Offer (BAFO)</w:t>
      </w:r>
      <w:bookmarkEnd w:id="714"/>
      <w:bookmarkEnd w:id="715"/>
      <w:bookmarkEnd w:id="716"/>
    </w:p>
    <w:p w14:paraId="41B3C22B" w14:textId="25C96887" w:rsidR="00873D2C" w:rsidRPr="001477F9" w:rsidRDefault="00873D2C" w:rsidP="00A324D3">
      <w:pPr>
        <w:spacing w:after="240"/>
        <w:ind w:left="425"/>
        <w:jc w:val="both"/>
        <w:rPr>
          <w:sz w:val="24"/>
          <w:szCs w:val="24"/>
        </w:rPr>
      </w:pPr>
      <w:r w:rsidRPr="001477F9">
        <w:rPr>
          <w:sz w:val="24"/>
          <w:szCs w:val="24"/>
        </w:rPr>
        <w:t>Where it will improve Value for Money outcomes, Council may conduct a shortlisting process and invite shortlisted tenderers to submit a Best and Final Offer (BAFO). Any BAFO or negotiation process will be conducted fairly, transparently and in accordance with the Procurement Manual.</w:t>
      </w:r>
    </w:p>
    <w:p w14:paraId="69BA0031" w14:textId="245972D0" w:rsidR="00694501" w:rsidRPr="002C7F3A" w:rsidRDefault="00D77379" w:rsidP="009F1E3B">
      <w:pPr>
        <w:pStyle w:val="proc1"/>
        <w:numPr>
          <w:ilvl w:val="1"/>
          <w:numId w:val="11"/>
        </w:numPr>
        <w:rPr>
          <w:sz w:val="28"/>
          <w:szCs w:val="28"/>
        </w:rPr>
      </w:pPr>
      <w:bookmarkStart w:id="717" w:name="_Toc84884787"/>
      <w:bookmarkStart w:id="718" w:name="_Toc85461573"/>
      <w:bookmarkStart w:id="719" w:name="_Toc240536462"/>
      <w:r w:rsidRPr="002C7F3A">
        <w:rPr>
          <w:sz w:val="28"/>
          <w:szCs w:val="28"/>
        </w:rPr>
        <w:t>Procurement Exemptions</w:t>
      </w:r>
      <w:bookmarkEnd w:id="717"/>
      <w:bookmarkEnd w:id="718"/>
      <w:bookmarkEnd w:id="719"/>
      <w:r w:rsidRPr="002C7F3A">
        <w:rPr>
          <w:sz w:val="28"/>
          <w:szCs w:val="28"/>
        </w:rPr>
        <w:t xml:space="preserve"> </w:t>
      </w:r>
    </w:p>
    <w:p w14:paraId="5B761F4F" w14:textId="77777777" w:rsidR="008165DF" w:rsidRPr="001477F9" w:rsidRDefault="0008428E" w:rsidP="00A324D3">
      <w:pPr>
        <w:spacing w:after="240"/>
        <w:ind w:left="425"/>
        <w:jc w:val="both"/>
        <w:rPr>
          <w:sz w:val="24"/>
          <w:szCs w:val="24"/>
        </w:rPr>
      </w:pPr>
      <w:r w:rsidRPr="001477F9">
        <w:rPr>
          <w:sz w:val="24"/>
          <w:szCs w:val="24"/>
        </w:rPr>
        <w:t>Council recognises that in defined and limited circumstances, procurement activities may</w:t>
      </w:r>
      <w:r w:rsidR="008165DF" w:rsidRPr="001477F9">
        <w:rPr>
          <w:sz w:val="24"/>
          <w:szCs w:val="24"/>
        </w:rPr>
        <w:t xml:space="preserve"> need to</w:t>
      </w:r>
      <w:r w:rsidRPr="001477F9">
        <w:rPr>
          <w:sz w:val="24"/>
          <w:szCs w:val="24"/>
        </w:rPr>
        <w:t xml:space="preserve"> be exempt</w:t>
      </w:r>
      <w:r w:rsidR="008165DF" w:rsidRPr="001477F9">
        <w:rPr>
          <w:sz w:val="24"/>
          <w:szCs w:val="24"/>
        </w:rPr>
        <w:t>ed</w:t>
      </w:r>
      <w:r w:rsidRPr="001477F9">
        <w:rPr>
          <w:sz w:val="24"/>
          <w:szCs w:val="24"/>
        </w:rPr>
        <w:t xml:space="preserve"> from the standard requirements to seek tenders, quotations or expressions of interest.</w:t>
      </w:r>
    </w:p>
    <w:p w14:paraId="61224BD7" w14:textId="63C613ED" w:rsidR="00AF20B4" w:rsidRPr="001477F9" w:rsidRDefault="00AF20B4" w:rsidP="00A324D3">
      <w:pPr>
        <w:spacing w:after="240"/>
        <w:ind w:left="425"/>
        <w:jc w:val="both"/>
        <w:rPr>
          <w:sz w:val="24"/>
          <w:szCs w:val="24"/>
        </w:rPr>
      </w:pPr>
      <w:r w:rsidRPr="001477F9">
        <w:rPr>
          <w:sz w:val="24"/>
          <w:szCs w:val="24"/>
        </w:rPr>
        <w:t>Procurement exemptions are intended to be used only where standard procurement approaches are not appropriate and after reasonable alternative options have been considered. Exemptions are not routine practice.</w:t>
      </w:r>
    </w:p>
    <w:p w14:paraId="7BC45B22" w14:textId="77777777" w:rsidR="00AF20B4" w:rsidRPr="001477F9" w:rsidRDefault="00AF20B4" w:rsidP="00A324D3">
      <w:pPr>
        <w:spacing w:after="240"/>
        <w:ind w:left="425"/>
        <w:jc w:val="both"/>
        <w:rPr>
          <w:sz w:val="24"/>
          <w:szCs w:val="24"/>
        </w:rPr>
      </w:pPr>
      <w:r w:rsidRPr="001477F9">
        <w:rPr>
          <w:sz w:val="24"/>
          <w:szCs w:val="24"/>
        </w:rPr>
        <w:t>Officers must be able to demonstrate that the exemption criteria are genuinely met, that the decision to apply an exemption is necessary and proportionate to the circumstances, and that the procurement continues to achieve value for money and uphold the core procurement principles.</w:t>
      </w:r>
    </w:p>
    <w:p w14:paraId="6D185342" w14:textId="4D6E6C71" w:rsidR="00B5739A" w:rsidRPr="001477F9" w:rsidRDefault="00AF20B4" w:rsidP="00A324D3">
      <w:pPr>
        <w:spacing w:after="240"/>
        <w:ind w:left="425"/>
        <w:jc w:val="both"/>
        <w:rPr>
          <w:sz w:val="24"/>
          <w:szCs w:val="24"/>
        </w:rPr>
      </w:pPr>
      <w:r w:rsidRPr="001477F9">
        <w:rPr>
          <w:sz w:val="24"/>
          <w:szCs w:val="24"/>
        </w:rPr>
        <w:t>Repeated use of exemptions for the same or similar procurements, without action to address underlying market, planning or process issues, is not acceptable</w:t>
      </w:r>
      <w:r w:rsidR="00FD6D51" w:rsidRPr="001477F9">
        <w:rPr>
          <w:sz w:val="24"/>
          <w:szCs w:val="24"/>
        </w:rPr>
        <w:t xml:space="preserve">. </w:t>
      </w:r>
      <w:r w:rsidR="009A3CC1" w:rsidRPr="001477F9">
        <w:rPr>
          <w:sz w:val="24"/>
          <w:szCs w:val="24"/>
        </w:rPr>
        <w:t>Exemptions defined in Appendix C must be endorsed in accordance with the Instruments of Financial Delegation justified and documented using the Exemption Form.</w:t>
      </w:r>
    </w:p>
    <w:p w14:paraId="7A202349" w14:textId="2042FD70" w:rsidR="004A4D2D" w:rsidRPr="001477F9" w:rsidRDefault="00C269E2" w:rsidP="00A324D3">
      <w:pPr>
        <w:spacing w:after="240"/>
        <w:ind w:left="425"/>
        <w:jc w:val="both"/>
        <w:rPr>
          <w:sz w:val="24"/>
          <w:szCs w:val="24"/>
        </w:rPr>
      </w:pPr>
      <w:r w:rsidRPr="001477F9">
        <w:rPr>
          <w:sz w:val="24"/>
          <w:szCs w:val="24"/>
        </w:rPr>
        <w:t xml:space="preserve">The CEO is required to approve </w:t>
      </w:r>
      <w:r w:rsidR="004D0160" w:rsidRPr="001477F9">
        <w:rPr>
          <w:sz w:val="24"/>
          <w:szCs w:val="24"/>
        </w:rPr>
        <w:t xml:space="preserve">all </w:t>
      </w:r>
      <w:r w:rsidR="00E426CE" w:rsidRPr="001477F9">
        <w:rPr>
          <w:sz w:val="24"/>
          <w:szCs w:val="24"/>
        </w:rPr>
        <w:t xml:space="preserve">procurement </w:t>
      </w:r>
      <w:r w:rsidR="004D0160" w:rsidRPr="001477F9">
        <w:rPr>
          <w:sz w:val="24"/>
          <w:szCs w:val="24"/>
        </w:rPr>
        <w:t>exemptions, including</w:t>
      </w:r>
      <w:r w:rsidRPr="001477F9">
        <w:rPr>
          <w:sz w:val="24"/>
          <w:szCs w:val="24"/>
        </w:rPr>
        <w:t>:</w:t>
      </w:r>
    </w:p>
    <w:p w14:paraId="52E9842E" w14:textId="77777777" w:rsidR="00FC64A6" w:rsidRPr="001477F9" w:rsidRDefault="00FC64A6" w:rsidP="00A324D3">
      <w:pPr>
        <w:pStyle w:val="Body"/>
        <w:spacing w:before="0" w:after="0"/>
        <w:ind w:left="425"/>
        <w:rPr>
          <w:rFonts w:ascii="Arial" w:hAnsi="Arial"/>
          <w:sz w:val="24"/>
          <w:szCs w:val="24"/>
        </w:rPr>
      </w:pPr>
    </w:p>
    <w:p w14:paraId="5F03F011" w14:textId="7DA327FA" w:rsidR="00C47253" w:rsidRPr="001477F9" w:rsidRDefault="004A4D2D" w:rsidP="00A324D3">
      <w:pPr>
        <w:pStyle w:val="ListParagraph"/>
        <w:numPr>
          <w:ilvl w:val="0"/>
          <w:numId w:val="120"/>
        </w:numPr>
        <w:rPr>
          <w:rFonts w:cs="Arial"/>
          <w:sz w:val="24"/>
          <w:szCs w:val="24"/>
          <w:lang w:eastAsia="en-AU"/>
        </w:rPr>
      </w:pPr>
      <w:r w:rsidRPr="001477F9">
        <w:rPr>
          <w:rFonts w:eastAsia="Times New Roman" w:cs="Arial"/>
          <w:sz w:val="24"/>
          <w:szCs w:val="24"/>
          <w:lang w:eastAsia="en-AU"/>
        </w:rPr>
        <w:t>Procurement methods that do not meet the minimum quotation requirements specified in the table in Section 3.1 of this Policy;</w:t>
      </w:r>
    </w:p>
    <w:p w14:paraId="261E56FD" w14:textId="2A7E23E2" w:rsidR="00C47253" w:rsidRPr="001477F9" w:rsidRDefault="00C47253" w:rsidP="00A324D3">
      <w:pPr>
        <w:pStyle w:val="ListParagraph"/>
        <w:numPr>
          <w:ilvl w:val="0"/>
          <w:numId w:val="120"/>
        </w:numPr>
        <w:rPr>
          <w:rFonts w:cs="Arial"/>
          <w:sz w:val="24"/>
          <w:szCs w:val="24"/>
          <w:lang w:eastAsia="en-AU"/>
        </w:rPr>
      </w:pPr>
      <w:r w:rsidRPr="001477F9">
        <w:rPr>
          <w:rFonts w:eastAsia="Times New Roman" w:cs="Arial"/>
          <w:sz w:val="24"/>
          <w:szCs w:val="24"/>
          <w:lang w:eastAsia="en-AU"/>
        </w:rPr>
        <w:t>Annual exemptions for the “Other specific Council exemptions” listed in the table in Appendix C;</w:t>
      </w:r>
    </w:p>
    <w:p w14:paraId="5BB8800D" w14:textId="744933EC" w:rsidR="00FC64A6" w:rsidRPr="001477F9" w:rsidRDefault="00C47253" w:rsidP="00A324D3">
      <w:pPr>
        <w:pStyle w:val="ListParagraph"/>
        <w:numPr>
          <w:ilvl w:val="0"/>
          <w:numId w:val="120"/>
        </w:numPr>
        <w:rPr>
          <w:rFonts w:cs="Arial"/>
          <w:sz w:val="24"/>
          <w:szCs w:val="24"/>
          <w:lang w:eastAsia="en-AU"/>
        </w:rPr>
      </w:pPr>
      <w:r w:rsidRPr="001477F9">
        <w:rPr>
          <w:rFonts w:eastAsia="Times New Roman" w:cs="Arial"/>
          <w:sz w:val="24"/>
          <w:szCs w:val="24"/>
          <w:lang w:eastAsia="en-AU"/>
        </w:rPr>
        <w:t>Ad-hoc exemptions in circumstances where it can be demonstrated that it is in the best interests of the community to do so.</w:t>
      </w:r>
    </w:p>
    <w:p w14:paraId="194956DF" w14:textId="77777777" w:rsidR="00694501" w:rsidRPr="002C7F3A" w:rsidRDefault="00694501" w:rsidP="009F1E3B">
      <w:pPr>
        <w:pStyle w:val="proc1"/>
        <w:numPr>
          <w:ilvl w:val="1"/>
          <w:numId w:val="11"/>
        </w:numPr>
        <w:rPr>
          <w:sz w:val="28"/>
          <w:szCs w:val="28"/>
        </w:rPr>
      </w:pPr>
      <w:bookmarkStart w:id="720" w:name="_Toc84884788"/>
      <w:bookmarkStart w:id="721" w:name="_Toc85461574"/>
      <w:bookmarkStart w:id="722" w:name="_Toc240536463"/>
      <w:r w:rsidRPr="002C7F3A">
        <w:rPr>
          <w:sz w:val="28"/>
          <w:szCs w:val="28"/>
        </w:rPr>
        <w:t>Expression of Interest</w:t>
      </w:r>
      <w:bookmarkEnd w:id="720"/>
      <w:bookmarkEnd w:id="721"/>
      <w:bookmarkEnd w:id="722"/>
    </w:p>
    <w:p w14:paraId="61EF9C88" w14:textId="1B15F670" w:rsidR="00FC64A6" w:rsidRPr="001477F9" w:rsidRDefault="00584D60" w:rsidP="00A324D3">
      <w:pPr>
        <w:spacing w:after="240"/>
        <w:ind w:left="425"/>
        <w:jc w:val="both"/>
        <w:rPr>
          <w:sz w:val="24"/>
          <w:szCs w:val="24"/>
        </w:rPr>
      </w:pPr>
      <w:r w:rsidRPr="001477F9">
        <w:rPr>
          <w:sz w:val="24"/>
          <w:szCs w:val="24"/>
        </w:rPr>
        <w:t>An Expression of Interest (EOI) may be used as a preliminary stage of a procurement process where:</w:t>
      </w:r>
    </w:p>
    <w:p w14:paraId="4FCE4C4E" w14:textId="45016D55" w:rsidR="00584D60" w:rsidRPr="001477F9" w:rsidRDefault="00FC64A6" w:rsidP="00A324D3">
      <w:pPr>
        <w:pStyle w:val="ListParagraph"/>
        <w:numPr>
          <w:ilvl w:val="0"/>
          <w:numId w:val="120"/>
        </w:numPr>
        <w:rPr>
          <w:rFonts w:cs="Arial"/>
          <w:sz w:val="24"/>
          <w:szCs w:val="24"/>
        </w:rPr>
      </w:pPr>
      <w:r w:rsidRPr="001477F9">
        <w:rPr>
          <w:rFonts w:eastAsia="Times New Roman" w:cs="Arial"/>
          <w:sz w:val="24"/>
          <w:szCs w:val="24"/>
          <w:lang w:eastAsia="en-AU"/>
        </w:rPr>
        <w:t>T</w:t>
      </w:r>
      <w:r w:rsidR="00584D60" w:rsidRPr="001477F9">
        <w:rPr>
          <w:rFonts w:eastAsia="Times New Roman" w:cs="Arial"/>
          <w:sz w:val="24"/>
          <w:szCs w:val="24"/>
          <w:lang w:eastAsia="en-AU"/>
        </w:rPr>
        <w:t>he procurement is complex, high</w:t>
      </w:r>
      <w:r w:rsidR="00584D60" w:rsidRPr="001477F9">
        <w:rPr>
          <w:rFonts w:ascii="Cambria Math" w:eastAsia="Times New Roman" w:hAnsi="Cambria Math" w:cs="Cambria Math"/>
          <w:sz w:val="24"/>
          <w:szCs w:val="24"/>
          <w:lang w:eastAsia="en-AU"/>
        </w:rPr>
        <w:t>‑</w:t>
      </w:r>
      <w:r w:rsidR="00584D60" w:rsidRPr="001477F9">
        <w:rPr>
          <w:rFonts w:eastAsia="Times New Roman" w:cs="Arial"/>
          <w:sz w:val="24"/>
          <w:szCs w:val="24"/>
          <w:lang w:eastAsia="en-AU"/>
        </w:rPr>
        <w:t>risk or specialised in nature, or where a large number of potential suppliers is anticipated, and the use of an EOI is considered an efficient and proportionate way to identify suitably qualified suppliers before inviting detailed tenders;</w:t>
      </w:r>
    </w:p>
    <w:p w14:paraId="21BC4F33" w14:textId="62CC1FD5" w:rsidR="00AA796A" w:rsidRPr="001477F9" w:rsidRDefault="00FC64A6" w:rsidP="00A324D3">
      <w:pPr>
        <w:pStyle w:val="ListParagraph"/>
        <w:numPr>
          <w:ilvl w:val="0"/>
          <w:numId w:val="120"/>
        </w:numPr>
        <w:rPr>
          <w:rFonts w:cs="Arial"/>
          <w:sz w:val="24"/>
          <w:szCs w:val="24"/>
        </w:rPr>
      </w:pPr>
      <w:r w:rsidRPr="001477F9">
        <w:rPr>
          <w:rFonts w:eastAsia="Times New Roman" w:cs="Arial"/>
          <w:sz w:val="24"/>
          <w:szCs w:val="24"/>
          <w:lang w:eastAsia="en-AU"/>
        </w:rPr>
        <w:t>T</w:t>
      </w:r>
      <w:r w:rsidR="00584D60" w:rsidRPr="001477F9">
        <w:rPr>
          <w:rFonts w:eastAsia="Times New Roman" w:cs="Arial"/>
          <w:sz w:val="24"/>
          <w:szCs w:val="24"/>
          <w:lang w:eastAsia="en-AU"/>
        </w:rPr>
        <w:t>here is uncertainty about the level of market interest, capability or capacity to deliver the required goods, services or works, and an EOI is required to better understand the market prior to proceeding with a formal tender process.</w:t>
      </w:r>
    </w:p>
    <w:p w14:paraId="1EFA9EBA" w14:textId="777426D8" w:rsidR="00694501" w:rsidRPr="002C7F3A" w:rsidRDefault="00694501" w:rsidP="009F1E3B">
      <w:pPr>
        <w:pStyle w:val="proc1"/>
        <w:numPr>
          <w:ilvl w:val="1"/>
          <w:numId w:val="11"/>
        </w:numPr>
        <w:rPr>
          <w:sz w:val="28"/>
          <w:szCs w:val="28"/>
        </w:rPr>
      </w:pPr>
      <w:bookmarkStart w:id="723" w:name="_Toc227674590"/>
      <w:bookmarkStart w:id="724" w:name="_Toc227674727"/>
      <w:bookmarkStart w:id="725" w:name="_Toc227674862"/>
      <w:bookmarkStart w:id="726" w:name="_Toc227674999"/>
      <w:bookmarkStart w:id="727" w:name="_Toc227675136"/>
      <w:bookmarkStart w:id="728" w:name="_Toc227675273"/>
      <w:bookmarkStart w:id="729" w:name="_Toc227675410"/>
      <w:bookmarkStart w:id="730" w:name="_Toc227675547"/>
      <w:bookmarkStart w:id="731" w:name="_Toc227675685"/>
      <w:bookmarkStart w:id="732" w:name="_Toc227675819"/>
      <w:bookmarkStart w:id="733" w:name="_Toc227675953"/>
      <w:bookmarkStart w:id="734" w:name="_Toc227674591"/>
      <w:bookmarkStart w:id="735" w:name="_Toc227674728"/>
      <w:bookmarkStart w:id="736" w:name="_Toc227674863"/>
      <w:bookmarkStart w:id="737" w:name="_Toc227675000"/>
      <w:bookmarkStart w:id="738" w:name="_Toc227675137"/>
      <w:bookmarkStart w:id="739" w:name="_Toc227675274"/>
      <w:bookmarkStart w:id="740" w:name="_Toc227675411"/>
      <w:bookmarkStart w:id="741" w:name="_Toc227675548"/>
      <w:bookmarkStart w:id="742" w:name="_Toc227675686"/>
      <w:bookmarkStart w:id="743" w:name="_Toc227675820"/>
      <w:bookmarkStart w:id="744" w:name="_Toc227675954"/>
      <w:bookmarkStart w:id="745" w:name="_Toc227674592"/>
      <w:bookmarkStart w:id="746" w:name="_Toc227674729"/>
      <w:bookmarkStart w:id="747" w:name="_Toc227674864"/>
      <w:bookmarkStart w:id="748" w:name="_Toc227675001"/>
      <w:bookmarkStart w:id="749" w:name="_Toc227675138"/>
      <w:bookmarkStart w:id="750" w:name="_Toc227675275"/>
      <w:bookmarkStart w:id="751" w:name="_Toc227675412"/>
      <w:bookmarkStart w:id="752" w:name="_Toc227675549"/>
      <w:bookmarkStart w:id="753" w:name="_Toc227675687"/>
      <w:bookmarkStart w:id="754" w:name="_Toc227675821"/>
      <w:bookmarkStart w:id="755" w:name="_Toc227675955"/>
      <w:bookmarkStart w:id="756" w:name="_Ref67923935"/>
      <w:bookmarkStart w:id="757" w:name="_Toc84884789"/>
      <w:bookmarkStart w:id="758" w:name="_Toc85461575"/>
      <w:bookmarkStart w:id="759" w:name="_Toc240536464"/>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r w:rsidRPr="002C7F3A">
        <w:rPr>
          <w:sz w:val="28"/>
          <w:szCs w:val="28"/>
        </w:rPr>
        <w:t>Sole or Select Sourcing</w:t>
      </w:r>
      <w:bookmarkEnd w:id="756"/>
      <w:bookmarkEnd w:id="757"/>
      <w:bookmarkEnd w:id="758"/>
      <w:bookmarkEnd w:id="759"/>
      <w:r w:rsidRPr="002C7F3A">
        <w:rPr>
          <w:sz w:val="28"/>
          <w:szCs w:val="28"/>
        </w:rPr>
        <w:t xml:space="preserve"> </w:t>
      </w:r>
    </w:p>
    <w:p w14:paraId="0FA810CD" w14:textId="41D2FDB2" w:rsidR="00694501" w:rsidRPr="001477F9" w:rsidRDefault="00694501" w:rsidP="00A324D3">
      <w:pPr>
        <w:spacing w:after="240"/>
        <w:ind w:left="425"/>
        <w:jc w:val="both"/>
        <w:rPr>
          <w:sz w:val="24"/>
          <w:szCs w:val="24"/>
        </w:rPr>
      </w:pPr>
      <w:r w:rsidRPr="001477F9">
        <w:rPr>
          <w:sz w:val="24"/>
          <w:szCs w:val="24"/>
        </w:rPr>
        <w:t xml:space="preserve">Supply of goods, services or works can be sought from </w:t>
      </w:r>
      <w:r w:rsidR="00305EC2" w:rsidRPr="001477F9">
        <w:rPr>
          <w:sz w:val="24"/>
          <w:szCs w:val="24"/>
        </w:rPr>
        <w:t>a single</w:t>
      </w:r>
      <w:r w:rsidRPr="001477F9">
        <w:rPr>
          <w:sz w:val="24"/>
          <w:szCs w:val="24"/>
        </w:rPr>
        <w:t xml:space="preserve"> supplier (sole sourcing) or a restricted group of suppliers (select sourcing) where it is consistent with this Procurement Policy and:</w:t>
      </w:r>
    </w:p>
    <w:p w14:paraId="6CCD614F" w14:textId="77777777" w:rsidR="00FC64A6" w:rsidRPr="001477F9" w:rsidRDefault="00FC64A6" w:rsidP="00A324D3">
      <w:pPr>
        <w:pStyle w:val="Body"/>
        <w:spacing w:before="0" w:after="0"/>
        <w:ind w:left="425"/>
        <w:rPr>
          <w:rFonts w:ascii="Arial" w:hAnsi="Arial"/>
          <w:sz w:val="24"/>
          <w:szCs w:val="24"/>
        </w:rPr>
      </w:pPr>
    </w:p>
    <w:p w14:paraId="3D994A09" w14:textId="5AAFA161" w:rsidR="00694501" w:rsidRPr="001477F9" w:rsidRDefault="00694501" w:rsidP="00A324D3">
      <w:pPr>
        <w:pStyle w:val="ListParagraph"/>
        <w:numPr>
          <w:ilvl w:val="0"/>
          <w:numId w:val="120"/>
        </w:numPr>
        <w:rPr>
          <w:rFonts w:cs="Arial"/>
          <w:sz w:val="24"/>
          <w:szCs w:val="24"/>
          <w:lang w:eastAsia="en-AU"/>
        </w:rPr>
      </w:pPr>
      <w:r w:rsidRPr="001477F9">
        <w:rPr>
          <w:rFonts w:eastAsia="Times New Roman" w:cs="Arial"/>
          <w:sz w:val="24"/>
          <w:szCs w:val="24"/>
          <w:lang w:eastAsia="en-AU"/>
        </w:rPr>
        <w:t>It is in the public interest;</w:t>
      </w:r>
    </w:p>
    <w:p w14:paraId="4E19D0FE" w14:textId="77777777" w:rsidR="001E27D2" w:rsidRPr="001477F9" w:rsidRDefault="001E27D2" w:rsidP="00A324D3">
      <w:pPr>
        <w:pStyle w:val="ListParagraph"/>
        <w:numPr>
          <w:ilvl w:val="0"/>
          <w:numId w:val="120"/>
        </w:numPr>
        <w:rPr>
          <w:rFonts w:cs="Arial"/>
          <w:sz w:val="24"/>
          <w:szCs w:val="24"/>
          <w:lang w:eastAsia="en-AU"/>
        </w:rPr>
      </w:pPr>
      <w:r w:rsidRPr="001477F9">
        <w:rPr>
          <w:rFonts w:eastAsia="Times New Roman" w:cs="Arial"/>
          <w:sz w:val="24"/>
          <w:szCs w:val="24"/>
          <w:lang w:eastAsia="en-AU"/>
        </w:rPr>
        <w:t>Purchases are being made against an Agency Contract or Internal Supplier Panel (per Section 3.11);</w:t>
      </w:r>
    </w:p>
    <w:p w14:paraId="00E8CFD8" w14:textId="77777777" w:rsidR="001E27D2" w:rsidRPr="001477F9" w:rsidRDefault="001E27D2" w:rsidP="00A324D3">
      <w:pPr>
        <w:pStyle w:val="ListParagraph"/>
        <w:numPr>
          <w:ilvl w:val="0"/>
          <w:numId w:val="120"/>
        </w:numPr>
        <w:rPr>
          <w:rFonts w:cs="Arial"/>
          <w:sz w:val="24"/>
          <w:szCs w:val="24"/>
          <w:lang w:eastAsia="en-AU"/>
        </w:rPr>
      </w:pPr>
      <w:r w:rsidRPr="001477F9">
        <w:rPr>
          <w:rFonts w:eastAsia="Times New Roman" w:cs="Arial"/>
          <w:sz w:val="24"/>
          <w:szCs w:val="24"/>
          <w:lang w:eastAsia="en-AU"/>
        </w:rPr>
        <w:t>The market is limited in capacity, expertise or geographical reach (e.g. niche categories or regional delivery constraints);</w:t>
      </w:r>
    </w:p>
    <w:p w14:paraId="7E7A34E8" w14:textId="565B5B92" w:rsidR="001E27D2" w:rsidRPr="001477F9" w:rsidRDefault="001E27D2" w:rsidP="00A324D3">
      <w:pPr>
        <w:pStyle w:val="ListParagraph"/>
        <w:numPr>
          <w:ilvl w:val="0"/>
          <w:numId w:val="120"/>
        </w:numPr>
        <w:rPr>
          <w:rFonts w:cs="Arial"/>
          <w:sz w:val="24"/>
          <w:szCs w:val="24"/>
          <w:lang w:eastAsia="en-AU"/>
        </w:rPr>
      </w:pPr>
      <w:r w:rsidRPr="001477F9">
        <w:rPr>
          <w:rFonts w:eastAsia="Times New Roman" w:cs="Arial"/>
          <w:sz w:val="24"/>
          <w:szCs w:val="24"/>
          <w:lang w:eastAsia="en-AU"/>
        </w:rPr>
        <w:t>An existing agreement provides clear rationale for continued engagement within defined parameters;</w:t>
      </w:r>
    </w:p>
    <w:p w14:paraId="314CA544" w14:textId="09D4DBF0" w:rsidR="001E27D2" w:rsidRPr="001477F9" w:rsidRDefault="001E27D2" w:rsidP="00A324D3">
      <w:pPr>
        <w:pStyle w:val="ListParagraph"/>
        <w:numPr>
          <w:ilvl w:val="0"/>
          <w:numId w:val="120"/>
        </w:numPr>
        <w:rPr>
          <w:rFonts w:cs="Arial"/>
          <w:sz w:val="24"/>
          <w:szCs w:val="24"/>
          <w:lang w:eastAsia="en-AU"/>
        </w:rPr>
      </w:pPr>
      <w:r w:rsidRPr="001477F9">
        <w:rPr>
          <w:rFonts w:eastAsia="Times New Roman" w:cs="Arial"/>
          <w:sz w:val="24"/>
          <w:szCs w:val="24"/>
          <w:lang w:eastAsia="en-AU"/>
        </w:rPr>
        <w:t>The procurement risk, value, and complexity are proportionate to a streamlined sourcing approach, supported by a documented rationale;</w:t>
      </w:r>
    </w:p>
    <w:p w14:paraId="6493DA17" w14:textId="77777777" w:rsidR="00B4497B" w:rsidRPr="001477F9" w:rsidRDefault="00694501" w:rsidP="00A324D3">
      <w:pPr>
        <w:pStyle w:val="ListParagraph"/>
        <w:numPr>
          <w:ilvl w:val="0"/>
          <w:numId w:val="120"/>
        </w:numPr>
        <w:rPr>
          <w:rFonts w:cs="Arial"/>
          <w:sz w:val="24"/>
          <w:szCs w:val="24"/>
          <w:lang w:eastAsia="en-AU"/>
        </w:rPr>
      </w:pPr>
      <w:r w:rsidRPr="001477F9">
        <w:rPr>
          <w:rFonts w:eastAsia="Times New Roman" w:cs="Arial"/>
          <w:sz w:val="24"/>
          <w:szCs w:val="24"/>
          <w:lang w:eastAsia="en-AU"/>
        </w:rPr>
        <w:t xml:space="preserve">The marketplace is restricted by statement of license or third-party ownership of an asset (excluding public utility plant); </w:t>
      </w:r>
    </w:p>
    <w:p w14:paraId="4969C91C" w14:textId="46064F3E" w:rsidR="00694501" w:rsidRPr="001477F9" w:rsidRDefault="00B4497B" w:rsidP="00A324D3">
      <w:pPr>
        <w:pStyle w:val="ListParagraph"/>
        <w:numPr>
          <w:ilvl w:val="0"/>
          <w:numId w:val="120"/>
        </w:numPr>
        <w:rPr>
          <w:rFonts w:cs="Arial"/>
          <w:sz w:val="24"/>
          <w:szCs w:val="24"/>
          <w:lang w:eastAsia="en-AU"/>
        </w:rPr>
      </w:pPr>
      <w:r w:rsidRPr="001477F9">
        <w:rPr>
          <w:rFonts w:eastAsia="Times New Roman" w:cs="Arial"/>
          <w:sz w:val="24"/>
          <w:szCs w:val="24"/>
          <w:lang w:eastAsia="en-AU"/>
        </w:rPr>
        <w:t>A previous public tender process was unsuccessful, and Council proceeds to a limited sourcing approach; or</w:t>
      </w:r>
    </w:p>
    <w:p w14:paraId="3E62A41F" w14:textId="346E7916" w:rsidR="00B5739A" w:rsidRPr="001477F9" w:rsidRDefault="00694501" w:rsidP="00A324D3">
      <w:pPr>
        <w:pStyle w:val="ListParagraph"/>
        <w:numPr>
          <w:ilvl w:val="0"/>
          <w:numId w:val="120"/>
        </w:numPr>
        <w:rPr>
          <w:rFonts w:cs="Arial"/>
          <w:sz w:val="24"/>
          <w:szCs w:val="24"/>
          <w:lang w:eastAsia="en-AU"/>
        </w:rPr>
      </w:pPr>
      <w:r w:rsidRPr="001477F9">
        <w:rPr>
          <w:rFonts w:eastAsia="Times New Roman" w:cs="Arial"/>
          <w:sz w:val="24"/>
          <w:szCs w:val="24"/>
          <w:lang w:eastAsia="en-AU"/>
        </w:rPr>
        <w:t>Council is party to a joint arrangement where Council jointly owns the Intellectual Property with a third-party provider.</w:t>
      </w:r>
    </w:p>
    <w:p w14:paraId="09820B75" w14:textId="77777777" w:rsidR="00694501" w:rsidRPr="002C7F3A" w:rsidRDefault="00694501" w:rsidP="009F1E3B">
      <w:pPr>
        <w:pStyle w:val="proc1"/>
        <w:numPr>
          <w:ilvl w:val="1"/>
          <w:numId w:val="11"/>
        </w:numPr>
        <w:rPr>
          <w:sz w:val="28"/>
          <w:szCs w:val="28"/>
        </w:rPr>
      </w:pPr>
      <w:bookmarkStart w:id="760" w:name="_Toc84884790"/>
      <w:bookmarkStart w:id="761" w:name="_Toc85461576"/>
      <w:bookmarkStart w:id="762" w:name="_Toc240536465"/>
      <w:r w:rsidRPr="002C7F3A">
        <w:rPr>
          <w:sz w:val="28"/>
          <w:szCs w:val="28"/>
        </w:rPr>
        <w:t>Quotations</w:t>
      </w:r>
      <w:bookmarkEnd w:id="760"/>
      <w:bookmarkEnd w:id="761"/>
      <w:bookmarkEnd w:id="762"/>
    </w:p>
    <w:p w14:paraId="5CFE4FE2" w14:textId="7B1ADB2E" w:rsidR="00694501" w:rsidRPr="001477F9" w:rsidRDefault="00694501" w:rsidP="00A324D3">
      <w:pPr>
        <w:spacing w:after="240"/>
        <w:ind w:left="425"/>
        <w:jc w:val="both"/>
        <w:rPr>
          <w:sz w:val="24"/>
          <w:szCs w:val="24"/>
        </w:rPr>
      </w:pPr>
      <w:bookmarkStart w:id="763" w:name="_Hlk84018940"/>
      <w:r w:rsidRPr="001477F9">
        <w:rPr>
          <w:sz w:val="24"/>
          <w:szCs w:val="24"/>
        </w:rPr>
        <w:t>The purchase of all goods, services and works with a value of less than the prescribed threshold of $</w:t>
      </w:r>
      <w:bookmarkEnd w:id="763"/>
      <w:r w:rsidR="00055CD3" w:rsidRPr="001477F9">
        <w:rPr>
          <w:sz w:val="24"/>
          <w:szCs w:val="24"/>
        </w:rPr>
        <w:t>300,000 may</w:t>
      </w:r>
      <w:r w:rsidRPr="001477F9">
        <w:rPr>
          <w:sz w:val="24"/>
          <w:szCs w:val="24"/>
        </w:rPr>
        <w:t xml:space="preserve"> be undertaken using Council’s quotation procedures.</w:t>
      </w:r>
    </w:p>
    <w:p w14:paraId="234B7CC7" w14:textId="61F0D860" w:rsidR="00694501" w:rsidRPr="001477F9" w:rsidRDefault="00694501" w:rsidP="00A324D3">
      <w:pPr>
        <w:spacing w:after="240"/>
        <w:ind w:left="425"/>
        <w:jc w:val="both"/>
        <w:rPr>
          <w:sz w:val="24"/>
          <w:szCs w:val="24"/>
        </w:rPr>
      </w:pPr>
      <w:r w:rsidRPr="001477F9">
        <w:rPr>
          <w:sz w:val="24"/>
          <w:szCs w:val="24"/>
        </w:rPr>
        <w:t xml:space="preserve">The Request for Quotation (RFQ) process allows Council Officers to acquire goods, services or works via processes that are more expedient than the public tender process. </w:t>
      </w:r>
    </w:p>
    <w:p w14:paraId="3E44E313" w14:textId="77777777" w:rsidR="00694501" w:rsidRPr="002C7F3A" w:rsidRDefault="00694501" w:rsidP="00A324D3">
      <w:pPr>
        <w:pStyle w:val="proc1"/>
        <w:numPr>
          <w:ilvl w:val="1"/>
          <w:numId w:val="11"/>
        </w:numPr>
        <w:rPr>
          <w:sz w:val="28"/>
          <w:szCs w:val="28"/>
        </w:rPr>
      </w:pPr>
      <w:bookmarkStart w:id="764" w:name="_Toc227674595"/>
      <w:bookmarkStart w:id="765" w:name="_Toc227674732"/>
      <w:bookmarkStart w:id="766" w:name="_Toc227674867"/>
      <w:bookmarkStart w:id="767" w:name="_Toc227675004"/>
      <w:bookmarkStart w:id="768" w:name="_Toc227675141"/>
      <w:bookmarkStart w:id="769" w:name="_Toc227675278"/>
      <w:bookmarkStart w:id="770" w:name="_Toc227675415"/>
      <w:bookmarkStart w:id="771" w:name="_Toc227675552"/>
      <w:bookmarkStart w:id="772" w:name="_Toc227675690"/>
      <w:bookmarkStart w:id="773" w:name="_Toc227675824"/>
      <w:bookmarkStart w:id="774" w:name="_Toc227675958"/>
      <w:bookmarkStart w:id="775" w:name="_Toc240536466"/>
      <w:bookmarkEnd w:id="764"/>
      <w:bookmarkEnd w:id="765"/>
      <w:bookmarkEnd w:id="766"/>
      <w:bookmarkEnd w:id="767"/>
      <w:bookmarkEnd w:id="768"/>
      <w:bookmarkEnd w:id="769"/>
      <w:bookmarkEnd w:id="770"/>
      <w:bookmarkEnd w:id="771"/>
      <w:bookmarkEnd w:id="772"/>
      <w:bookmarkEnd w:id="773"/>
      <w:bookmarkEnd w:id="774"/>
      <w:r w:rsidRPr="002C7F3A">
        <w:rPr>
          <w:sz w:val="28"/>
          <w:szCs w:val="28"/>
        </w:rPr>
        <w:t>Terms and Conditions</w:t>
      </w:r>
      <w:bookmarkEnd w:id="775"/>
    </w:p>
    <w:p w14:paraId="7DDF852F" w14:textId="77777777" w:rsidR="00D80128" w:rsidRPr="001477F9" w:rsidRDefault="00D80128" w:rsidP="00A324D3">
      <w:pPr>
        <w:spacing w:after="240"/>
        <w:ind w:left="425"/>
        <w:jc w:val="both"/>
        <w:rPr>
          <w:sz w:val="24"/>
          <w:szCs w:val="24"/>
        </w:rPr>
      </w:pPr>
      <w:r w:rsidRPr="001477F9">
        <w:rPr>
          <w:sz w:val="24"/>
          <w:szCs w:val="24"/>
        </w:rPr>
        <w:t>Council-approved contract templates containing legally reviewed terms and conditions are required for all procurement with a Total Contract Value of $150,000 and above.</w:t>
      </w:r>
    </w:p>
    <w:p w14:paraId="7FC7959F" w14:textId="10414843" w:rsidR="00D80128" w:rsidRPr="001477F9" w:rsidRDefault="00D80128" w:rsidP="00A324D3">
      <w:pPr>
        <w:spacing w:after="240"/>
        <w:ind w:left="425"/>
        <w:jc w:val="both"/>
        <w:rPr>
          <w:sz w:val="24"/>
          <w:szCs w:val="24"/>
        </w:rPr>
      </w:pPr>
      <w:r w:rsidRPr="001477F9">
        <w:rPr>
          <w:sz w:val="24"/>
          <w:szCs w:val="24"/>
        </w:rPr>
        <w:t>For procurement below $150,000, Council-approved templates are recommended and Council's standard purchase order terms and conditions apply as a default. Staff should assess the level of risk to determine appropriate contractual protections.</w:t>
      </w:r>
    </w:p>
    <w:p w14:paraId="45B8A3D3" w14:textId="4A5F71A4" w:rsidR="00694501" w:rsidRPr="002C7F3A" w:rsidRDefault="00694501" w:rsidP="009F1E3B">
      <w:pPr>
        <w:pStyle w:val="proc1"/>
        <w:numPr>
          <w:ilvl w:val="1"/>
          <w:numId w:val="11"/>
        </w:numPr>
        <w:rPr>
          <w:sz w:val="28"/>
          <w:szCs w:val="28"/>
        </w:rPr>
      </w:pPr>
      <w:bookmarkStart w:id="776" w:name="_Toc84884793"/>
      <w:bookmarkStart w:id="777" w:name="_Toc85461579"/>
      <w:bookmarkStart w:id="778" w:name="_Toc240536467"/>
      <w:r w:rsidRPr="002C7F3A">
        <w:rPr>
          <w:sz w:val="28"/>
          <w:szCs w:val="28"/>
        </w:rPr>
        <w:t>Collaborative Procurement</w:t>
      </w:r>
      <w:bookmarkEnd w:id="776"/>
      <w:bookmarkEnd w:id="777"/>
      <w:bookmarkEnd w:id="778"/>
    </w:p>
    <w:p w14:paraId="5F48DC8D" w14:textId="77777777" w:rsidR="00AF0955" w:rsidRPr="001477F9" w:rsidRDefault="00AF0955" w:rsidP="00A324D3">
      <w:pPr>
        <w:spacing w:after="240"/>
        <w:ind w:left="425"/>
        <w:jc w:val="both"/>
        <w:rPr>
          <w:sz w:val="24"/>
          <w:szCs w:val="24"/>
        </w:rPr>
      </w:pPr>
      <w:r w:rsidRPr="001477F9">
        <w:rPr>
          <w:sz w:val="24"/>
          <w:szCs w:val="24"/>
        </w:rPr>
        <w:t>In accordance with section 108(3)(c) of the Local Government Act 2020 (Vic), Council must give due consideration to collaborative procurement opportunities when procuring goods, services, or works. This includes working with other councils, public bodies, or utilising established collaborative arrangements to achieve value for money through economies of scale, improved efficiency, and reduced duplication.</w:t>
      </w:r>
    </w:p>
    <w:p w14:paraId="0941F35B" w14:textId="77777777" w:rsidR="00AF0955" w:rsidRPr="001477F9" w:rsidRDefault="00AF0955" w:rsidP="00A324D3">
      <w:pPr>
        <w:spacing w:after="240"/>
        <w:ind w:left="425"/>
        <w:jc w:val="both"/>
        <w:rPr>
          <w:sz w:val="24"/>
          <w:szCs w:val="24"/>
        </w:rPr>
      </w:pPr>
      <w:r w:rsidRPr="001477F9">
        <w:rPr>
          <w:sz w:val="24"/>
          <w:szCs w:val="24"/>
        </w:rPr>
        <w:t>All Council staff involved in procurement activities are required to actively assess whether a collaborative approach is suitable for each procurement. This consideration must occur at the planning stage of the procurement process.</w:t>
      </w:r>
    </w:p>
    <w:p w14:paraId="42218D46" w14:textId="77777777" w:rsidR="00AF0955" w:rsidRPr="001477F9" w:rsidRDefault="00AF0955" w:rsidP="00A324D3">
      <w:pPr>
        <w:spacing w:after="240"/>
        <w:ind w:left="425"/>
        <w:jc w:val="both"/>
        <w:rPr>
          <w:sz w:val="24"/>
          <w:szCs w:val="24"/>
        </w:rPr>
      </w:pPr>
      <w:r w:rsidRPr="001477F9">
        <w:rPr>
          <w:sz w:val="24"/>
          <w:szCs w:val="24"/>
        </w:rPr>
        <w:t>Where a procurement activity is presented for approval (including Council reports), the following must be clearly documented:</w:t>
      </w:r>
    </w:p>
    <w:p w14:paraId="1C359E82" w14:textId="337DF9AC" w:rsidR="00AF0955" w:rsidRPr="001477F9" w:rsidRDefault="00AF0955" w:rsidP="00A324D3">
      <w:pPr>
        <w:pStyle w:val="ListParagraph"/>
        <w:numPr>
          <w:ilvl w:val="0"/>
          <w:numId w:val="120"/>
        </w:numPr>
        <w:rPr>
          <w:rFonts w:cs="Arial"/>
          <w:sz w:val="24"/>
          <w:szCs w:val="24"/>
        </w:rPr>
      </w:pPr>
      <w:r w:rsidRPr="001477F9">
        <w:rPr>
          <w:rFonts w:eastAsia="Times New Roman" w:cs="Arial"/>
          <w:sz w:val="24"/>
          <w:szCs w:val="24"/>
          <w:lang w:eastAsia="en-AU"/>
        </w:rPr>
        <w:t xml:space="preserve">The availability and nature of any collaborative procurement opportunities, including the councils or public bodies involved; and </w:t>
      </w:r>
    </w:p>
    <w:p w14:paraId="500EA02A" w14:textId="02E01255" w:rsidR="00AF0955" w:rsidRPr="001477F9" w:rsidRDefault="00AF0955" w:rsidP="00A324D3">
      <w:pPr>
        <w:pStyle w:val="ListParagraph"/>
        <w:numPr>
          <w:ilvl w:val="0"/>
          <w:numId w:val="120"/>
        </w:numPr>
        <w:rPr>
          <w:rFonts w:cs="Arial"/>
          <w:sz w:val="24"/>
          <w:szCs w:val="24"/>
        </w:rPr>
      </w:pPr>
      <w:r w:rsidRPr="001477F9">
        <w:rPr>
          <w:rFonts w:eastAsia="Times New Roman" w:cs="Arial"/>
          <w:sz w:val="24"/>
          <w:szCs w:val="24"/>
          <w:lang w:eastAsia="en-AU"/>
        </w:rPr>
        <w:t xml:space="preserve">The rationale for either pursuing or not pursuing those opportunities. </w:t>
      </w:r>
    </w:p>
    <w:p w14:paraId="5C235B46" w14:textId="77777777" w:rsidR="00AF0955" w:rsidRPr="001477F9" w:rsidRDefault="00AF0955" w:rsidP="00AF0955">
      <w:pPr>
        <w:spacing w:after="240"/>
        <w:ind w:left="426"/>
        <w:rPr>
          <w:sz w:val="24"/>
          <w:szCs w:val="24"/>
        </w:rPr>
      </w:pPr>
      <w:r w:rsidRPr="001477F9">
        <w:rPr>
          <w:sz w:val="24"/>
          <w:szCs w:val="24"/>
        </w:rPr>
        <w:t>Collaborative procurement opportunities may arise through established networks and arrangements, including the M9 group of councils, as well as approved Agency Contracts, Supplier Registers, and Panels.</w:t>
      </w:r>
    </w:p>
    <w:p w14:paraId="53717B79" w14:textId="77777777" w:rsidR="00AF0955" w:rsidRPr="001477F9" w:rsidRDefault="00AF0955" w:rsidP="00AF0955">
      <w:pPr>
        <w:spacing w:after="240"/>
        <w:ind w:left="426"/>
        <w:rPr>
          <w:sz w:val="24"/>
          <w:szCs w:val="24"/>
        </w:rPr>
      </w:pPr>
      <w:r w:rsidRPr="001477F9">
        <w:rPr>
          <w:sz w:val="24"/>
          <w:szCs w:val="24"/>
        </w:rPr>
        <w:t>Not all procurements are suitable for collaboration. The following are generally excluded:</w:t>
      </w:r>
    </w:p>
    <w:p w14:paraId="439AB224" w14:textId="692BE7FF" w:rsidR="00AF0955" w:rsidRPr="001477F9" w:rsidRDefault="00AF0955" w:rsidP="00A324D3">
      <w:pPr>
        <w:pStyle w:val="ListParagraph"/>
        <w:numPr>
          <w:ilvl w:val="0"/>
          <w:numId w:val="120"/>
        </w:numPr>
        <w:rPr>
          <w:rFonts w:cs="Arial"/>
          <w:sz w:val="24"/>
          <w:szCs w:val="24"/>
        </w:rPr>
      </w:pPr>
      <w:r w:rsidRPr="001477F9">
        <w:rPr>
          <w:rFonts w:eastAsia="Times New Roman" w:cs="Arial"/>
          <w:sz w:val="24"/>
          <w:szCs w:val="24"/>
          <w:lang w:eastAsia="en-AU"/>
        </w:rPr>
        <w:t xml:space="preserve">Construction or works projects where the scope, design, or site-specific requirements are unique to an individual Council and cannot be standardised or shared; and </w:t>
      </w:r>
    </w:p>
    <w:p w14:paraId="5A99F92E" w14:textId="5470066B" w:rsidR="000C4D8C" w:rsidRPr="001477F9" w:rsidRDefault="00AF0955" w:rsidP="00A324D3">
      <w:pPr>
        <w:pStyle w:val="ListParagraph"/>
        <w:numPr>
          <w:ilvl w:val="0"/>
          <w:numId w:val="120"/>
        </w:numPr>
        <w:rPr>
          <w:rFonts w:cs="Arial"/>
          <w:sz w:val="24"/>
          <w:szCs w:val="24"/>
        </w:rPr>
      </w:pPr>
      <w:r w:rsidRPr="001477F9">
        <w:rPr>
          <w:rFonts w:eastAsia="Times New Roman" w:cs="Arial"/>
          <w:sz w:val="24"/>
          <w:szCs w:val="24"/>
          <w:lang w:eastAsia="en-AU"/>
        </w:rPr>
        <w:t>Commonwealth or State Government funded projects that are specifically allocated to Yarra City Council, where funding conditions or delivery requirements limit or prevent a collaborative approach.</w:t>
      </w:r>
    </w:p>
    <w:p w14:paraId="1142AF42" w14:textId="7A718DD3" w:rsidR="005A7BDC" w:rsidRPr="002C7F3A" w:rsidRDefault="005A7BDC" w:rsidP="005A7BDC">
      <w:pPr>
        <w:pStyle w:val="proc1"/>
        <w:numPr>
          <w:ilvl w:val="1"/>
          <w:numId w:val="11"/>
        </w:numPr>
        <w:rPr>
          <w:sz w:val="28"/>
          <w:szCs w:val="28"/>
        </w:rPr>
      </w:pPr>
      <w:bookmarkStart w:id="779" w:name="_Toc240536468"/>
      <w:r w:rsidRPr="002C7F3A">
        <w:rPr>
          <w:sz w:val="28"/>
          <w:szCs w:val="28"/>
        </w:rPr>
        <w:t>Agency Contracts, Supplier Registers and Supplier Panels</w:t>
      </w:r>
      <w:bookmarkEnd w:id="779"/>
    </w:p>
    <w:p w14:paraId="5E92C00E" w14:textId="77777777" w:rsidR="00A3256A" w:rsidRPr="001477F9" w:rsidRDefault="00A3256A" w:rsidP="00A324D3">
      <w:pPr>
        <w:spacing w:after="240"/>
        <w:ind w:left="425"/>
        <w:jc w:val="both"/>
        <w:rPr>
          <w:sz w:val="24"/>
          <w:szCs w:val="24"/>
        </w:rPr>
      </w:pPr>
      <w:bookmarkStart w:id="780" w:name="_Toc227674598"/>
      <w:bookmarkStart w:id="781" w:name="_Toc227674735"/>
      <w:bookmarkStart w:id="782" w:name="_Toc227674870"/>
      <w:bookmarkStart w:id="783" w:name="_Toc227675007"/>
      <w:bookmarkStart w:id="784" w:name="_Toc227675144"/>
      <w:bookmarkStart w:id="785" w:name="_Toc227675281"/>
      <w:bookmarkStart w:id="786" w:name="_Toc227675418"/>
      <w:bookmarkStart w:id="787" w:name="_Toc227675555"/>
      <w:bookmarkStart w:id="788" w:name="_Toc227675693"/>
      <w:bookmarkStart w:id="789" w:name="_Toc227675827"/>
      <w:bookmarkStart w:id="790" w:name="_Toc227674599"/>
      <w:bookmarkStart w:id="791" w:name="_Toc227674736"/>
      <w:bookmarkStart w:id="792" w:name="_Toc227674871"/>
      <w:bookmarkStart w:id="793" w:name="_Toc227675008"/>
      <w:bookmarkStart w:id="794" w:name="_Toc227675145"/>
      <w:bookmarkStart w:id="795" w:name="_Toc227675282"/>
      <w:bookmarkStart w:id="796" w:name="_Toc227675419"/>
      <w:bookmarkStart w:id="797" w:name="_Toc227675556"/>
      <w:bookmarkStart w:id="798" w:name="_Toc227675694"/>
      <w:bookmarkStart w:id="799" w:name="_Toc227675828"/>
      <w:bookmarkStart w:id="800" w:name="_Toc227674600"/>
      <w:bookmarkStart w:id="801" w:name="_Toc227674737"/>
      <w:bookmarkStart w:id="802" w:name="_Toc227674872"/>
      <w:bookmarkStart w:id="803" w:name="_Toc227675009"/>
      <w:bookmarkStart w:id="804" w:name="_Toc227675146"/>
      <w:bookmarkStart w:id="805" w:name="_Toc227675283"/>
      <w:bookmarkStart w:id="806" w:name="_Toc227675420"/>
      <w:bookmarkStart w:id="807" w:name="_Toc227675557"/>
      <w:bookmarkStart w:id="808" w:name="_Toc227675695"/>
      <w:bookmarkStart w:id="809" w:name="_Toc227675829"/>
      <w:bookmarkStart w:id="810" w:name="_Toc227674601"/>
      <w:bookmarkStart w:id="811" w:name="_Toc227674738"/>
      <w:bookmarkStart w:id="812" w:name="_Toc227674873"/>
      <w:bookmarkStart w:id="813" w:name="_Toc227675010"/>
      <w:bookmarkStart w:id="814" w:name="_Toc227675147"/>
      <w:bookmarkStart w:id="815" w:name="_Toc227675284"/>
      <w:bookmarkStart w:id="816" w:name="_Toc227675421"/>
      <w:bookmarkStart w:id="817" w:name="_Toc227675558"/>
      <w:bookmarkStart w:id="818" w:name="_Toc227675696"/>
      <w:bookmarkStart w:id="819" w:name="_Toc227675830"/>
      <w:bookmarkStart w:id="820" w:name="_Toc227674602"/>
      <w:bookmarkStart w:id="821" w:name="_Toc227674739"/>
      <w:bookmarkStart w:id="822" w:name="_Toc227674874"/>
      <w:bookmarkStart w:id="823" w:name="_Toc227675011"/>
      <w:bookmarkStart w:id="824" w:name="_Toc227675148"/>
      <w:bookmarkStart w:id="825" w:name="_Toc227675285"/>
      <w:bookmarkStart w:id="826" w:name="_Toc227675422"/>
      <w:bookmarkStart w:id="827" w:name="_Toc227675559"/>
      <w:bookmarkStart w:id="828" w:name="_Toc227675697"/>
      <w:bookmarkStart w:id="829" w:name="_Toc227675831"/>
      <w:bookmarkStart w:id="830" w:name="_Toc227674603"/>
      <w:bookmarkStart w:id="831" w:name="_Toc227674740"/>
      <w:bookmarkStart w:id="832" w:name="_Toc227674875"/>
      <w:bookmarkStart w:id="833" w:name="_Toc227675012"/>
      <w:bookmarkStart w:id="834" w:name="_Toc227675149"/>
      <w:bookmarkStart w:id="835" w:name="_Toc227675286"/>
      <w:bookmarkStart w:id="836" w:name="_Toc227675423"/>
      <w:bookmarkStart w:id="837" w:name="_Toc227675560"/>
      <w:bookmarkStart w:id="838" w:name="_Toc227675698"/>
      <w:bookmarkStart w:id="839" w:name="_Toc227675832"/>
      <w:bookmarkStart w:id="840" w:name="_Toc227674604"/>
      <w:bookmarkStart w:id="841" w:name="_Toc227674741"/>
      <w:bookmarkStart w:id="842" w:name="_Toc227674876"/>
      <w:bookmarkStart w:id="843" w:name="_Toc227675013"/>
      <w:bookmarkStart w:id="844" w:name="_Toc227675150"/>
      <w:bookmarkStart w:id="845" w:name="_Toc227675287"/>
      <w:bookmarkStart w:id="846" w:name="_Toc227675424"/>
      <w:bookmarkStart w:id="847" w:name="_Toc227675561"/>
      <w:bookmarkStart w:id="848" w:name="_Toc227675699"/>
      <w:bookmarkStart w:id="849" w:name="_Toc227675833"/>
      <w:bookmarkStart w:id="850" w:name="_Toc227674605"/>
      <w:bookmarkStart w:id="851" w:name="_Toc227674742"/>
      <w:bookmarkStart w:id="852" w:name="_Toc227674877"/>
      <w:bookmarkStart w:id="853" w:name="_Toc227675014"/>
      <w:bookmarkStart w:id="854" w:name="_Toc227675151"/>
      <w:bookmarkStart w:id="855" w:name="_Toc227675288"/>
      <w:bookmarkStart w:id="856" w:name="_Toc227675425"/>
      <w:bookmarkStart w:id="857" w:name="_Toc227675562"/>
      <w:bookmarkStart w:id="858" w:name="_Toc227675700"/>
      <w:bookmarkStart w:id="859" w:name="_Toc227675834"/>
      <w:bookmarkStart w:id="860" w:name="_Toc84884791"/>
      <w:bookmarkStart w:id="861" w:name="_Toc85461577"/>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r w:rsidRPr="001477F9">
        <w:rPr>
          <w:sz w:val="24"/>
          <w:szCs w:val="24"/>
        </w:rPr>
        <w:t>Council may procure goods, services and works through the following approved procurement arrangements:</w:t>
      </w:r>
    </w:p>
    <w:p w14:paraId="3EDEBAF1" w14:textId="0493013E" w:rsidR="00A3256A" w:rsidRPr="001477F9" w:rsidRDefault="00A3256A" w:rsidP="00A324D3">
      <w:pPr>
        <w:ind w:left="349" w:firstLine="76"/>
        <w:rPr>
          <w:b/>
          <w:bCs/>
          <w:sz w:val="24"/>
          <w:szCs w:val="24"/>
        </w:rPr>
      </w:pPr>
      <w:r w:rsidRPr="001477F9">
        <w:rPr>
          <w:b/>
          <w:bCs/>
          <w:sz w:val="24"/>
          <w:szCs w:val="24"/>
        </w:rPr>
        <w:t>Agency Contracts</w:t>
      </w:r>
    </w:p>
    <w:p w14:paraId="01B691F0" w14:textId="77777777" w:rsidR="00A3256A" w:rsidRPr="001477F9" w:rsidRDefault="00A3256A" w:rsidP="00A324D3">
      <w:pPr>
        <w:ind w:left="425"/>
        <w:rPr>
          <w:sz w:val="24"/>
          <w:szCs w:val="24"/>
        </w:rPr>
      </w:pPr>
      <w:r w:rsidRPr="001477F9">
        <w:rPr>
          <w:sz w:val="24"/>
          <w:szCs w:val="24"/>
        </w:rPr>
        <w:t>Council may procure through lawfully established Agency Contracts, including those arranged by:</w:t>
      </w:r>
    </w:p>
    <w:p w14:paraId="54094442" w14:textId="16A35216" w:rsidR="00A3256A" w:rsidRPr="001477F9" w:rsidRDefault="00A3256A" w:rsidP="00A324D3">
      <w:pPr>
        <w:pStyle w:val="ListParagraph"/>
        <w:numPr>
          <w:ilvl w:val="0"/>
          <w:numId w:val="120"/>
        </w:numPr>
        <w:rPr>
          <w:rFonts w:cs="Arial"/>
          <w:sz w:val="24"/>
          <w:szCs w:val="24"/>
        </w:rPr>
      </w:pPr>
      <w:r w:rsidRPr="001477F9">
        <w:rPr>
          <w:rFonts w:eastAsia="Times New Roman" w:cs="Arial"/>
          <w:sz w:val="24"/>
          <w:szCs w:val="24"/>
          <w:lang w:eastAsia="en-AU"/>
        </w:rPr>
        <w:t xml:space="preserve">Municipal Association of Victoria (MAV) </w:t>
      </w:r>
    </w:p>
    <w:p w14:paraId="028C67EE" w14:textId="1290D011" w:rsidR="00A3256A" w:rsidRPr="001477F9" w:rsidRDefault="00A3256A" w:rsidP="00A324D3">
      <w:pPr>
        <w:pStyle w:val="ListParagraph"/>
        <w:numPr>
          <w:ilvl w:val="0"/>
          <w:numId w:val="120"/>
        </w:numPr>
        <w:rPr>
          <w:rFonts w:cs="Arial"/>
          <w:sz w:val="24"/>
          <w:szCs w:val="24"/>
        </w:rPr>
      </w:pPr>
      <w:r w:rsidRPr="001477F9">
        <w:rPr>
          <w:rFonts w:eastAsia="Times New Roman" w:cs="Arial"/>
          <w:sz w:val="24"/>
          <w:szCs w:val="24"/>
          <w:lang w:eastAsia="en-AU"/>
        </w:rPr>
        <w:t xml:space="preserve">Procurement Australia (PA) </w:t>
      </w:r>
    </w:p>
    <w:p w14:paraId="5F7BD8AC" w14:textId="588AC6E2" w:rsidR="00A3256A" w:rsidRPr="001477F9" w:rsidRDefault="00A3256A" w:rsidP="00A324D3">
      <w:pPr>
        <w:pStyle w:val="ListParagraph"/>
        <w:numPr>
          <w:ilvl w:val="0"/>
          <w:numId w:val="120"/>
        </w:numPr>
        <w:rPr>
          <w:rFonts w:cs="Arial"/>
          <w:sz w:val="24"/>
          <w:szCs w:val="24"/>
        </w:rPr>
      </w:pPr>
      <w:r w:rsidRPr="001477F9">
        <w:rPr>
          <w:rFonts w:eastAsia="Times New Roman" w:cs="Arial"/>
          <w:sz w:val="24"/>
          <w:szCs w:val="24"/>
          <w:lang w:eastAsia="en-AU"/>
        </w:rPr>
        <w:t xml:space="preserve">Victorian State Government (State Purchase Contracts) </w:t>
      </w:r>
    </w:p>
    <w:p w14:paraId="2D3415B4" w14:textId="77777777" w:rsidR="00A3256A" w:rsidRPr="001477F9" w:rsidRDefault="00A3256A" w:rsidP="00A324D3">
      <w:pPr>
        <w:spacing w:after="240"/>
        <w:ind w:left="425"/>
        <w:jc w:val="both"/>
        <w:rPr>
          <w:sz w:val="24"/>
          <w:szCs w:val="24"/>
        </w:rPr>
      </w:pPr>
      <w:r w:rsidRPr="001477F9">
        <w:rPr>
          <w:sz w:val="24"/>
          <w:szCs w:val="24"/>
        </w:rPr>
        <w:t>These arrangements are established through a competitive public tender process undertaken by the relevant agency, which typically includes market engagement, evaluation, contract negotiation, and the application of probity, governance and value-for-money controls.</w:t>
      </w:r>
    </w:p>
    <w:p w14:paraId="4231755B" w14:textId="77777777" w:rsidR="00A3256A" w:rsidRPr="001477F9" w:rsidRDefault="00A3256A" w:rsidP="00A324D3">
      <w:pPr>
        <w:spacing w:after="240"/>
        <w:ind w:left="425"/>
        <w:jc w:val="both"/>
        <w:rPr>
          <w:sz w:val="24"/>
          <w:szCs w:val="24"/>
        </w:rPr>
      </w:pPr>
      <w:r w:rsidRPr="001477F9">
        <w:rPr>
          <w:sz w:val="24"/>
          <w:szCs w:val="24"/>
        </w:rPr>
        <w:t>The use of Agency Contracts enables Council to achieve efficiencies in time, cost and administrative effort by leveraging aggregated buying power, reduced duplication of procurement activities, and pre-established contractual protections.</w:t>
      </w:r>
    </w:p>
    <w:p w14:paraId="269D928F" w14:textId="7BE21A23" w:rsidR="00A3256A" w:rsidRPr="001477F9" w:rsidRDefault="00A3256A" w:rsidP="00A324D3">
      <w:pPr>
        <w:spacing w:after="240"/>
        <w:ind w:left="425"/>
        <w:jc w:val="both"/>
        <w:rPr>
          <w:sz w:val="24"/>
          <w:szCs w:val="24"/>
        </w:rPr>
      </w:pPr>
      <w:r w:rsidRPr="001477F9">
        <w:rPr>
          <w:sz w:val="24"/>
          <w:szCs w:val="24"/>
        </w:rPr>
        <w:t>Where an Agency Contract exists for a relevant category, Council officers must comply with its applicable terms, conditions, and usage requirements. Where no specific usage or quotation thresholds are defined, the requirements set out in Appendix A of this Policy apply.</w:t>
      </w:r>
    </w:p>
    <w:p w14:paraId="060C4BCC" w14:textId="2C1198DE" w:rsidR="00A3256A" w:rsidRPr="001477F9" w:rsidRDefault="00A3256A" w:rsidP="00A324D3">
      <w:pPr>
        <w:ind w:left="349" w:firstLine="76"/>
        <w:rPr>
          <w:b/>
          <w:bCs/>
          <w:sz w:val="24"/>
          <w:szCs w:val="24"/>
        </w:rPr>
      </w:pPr>
      <w:r w:rsidRPr="001477F9">
        <w:rPr>
          <w:b/>
          <w:bCs/>
          <w:sz w:val="24"/>
          <w:szCs w:val="24"/>
        </w:rPr>
        <w:t>Supplier Panels</w:t>
      </w:r>
    </w:p>
    <w:p w14:paraId="20C48E67" w14:textId="77777777" w:rsidR="00A3256A" w:rsidRPr="001477F9" w:rsidRDefault="00A3256A" w:rsidP="00A324D3">
      <w:pPr>
        <w:spacing w:after="240"/>
        <w:ind w:left="425"/>
        <w:jc w:val="both"/>
        <w:rPr>
          <w:sz w:val="24"/>
          <w:szCs w:val="24"/>
        </w:rPr>
      </w:pPr>
      <w:r w:rsidRPr="001477F9">
        <w:rPr>
          <w:sz w:val="24"/>
          <w:szCs w:val="24"/>
        </w:rPr>
        <w:t>Council may also procure through Supplier Panels, which are established in two ways:</w:t>
      </w:r>
    </w:p>
    <w:p w14:paraId="2F97CF39" w14:textId="3A2242B5" w:rsidR="00A3256A" w:rsidRPr="001477F9" w:rsidRDefault="00A3256A" w:rsidP="00A324D3">
      <w:pPr>
        <w:pStyle w:val="ListParagraph"/>
        <w:numPr>
          <w:ilvl w:val="0"/>
          <w:numId w:val="120"/>
        </w:numPr>
        <w:rPr>
          <w:rFonts w:cs="Arial"/>
          <w:sz w:val="24"/>
          <w:szCs w:val="24"/>
        </w:rPr>
      </w:pPr>
      <w:r w:rsidRPr="001477F9">
        <w:rPr>
          <w:rFonts w:eastAsia="Times New Roman" w:cs="Arial"/>
          <w:sz w:val="24"/>
          <w:szCs w:val="24"/>
          <w:lang w:eastAsia="en-AU"/>
        </w:rPr>
        <w:t xml:space="preserve">Panels established by Council through an open public tender process; or </w:t>
      </w:r>
    </w:p>
    <w:p w14:paraId="6DF59452" w14:textId="4F65ED39" w:rsidR="00A3256A" w:rsidRPr="001477F9" w:rsidRDefault="00A3256A" w:rsidP="00A324D3">
      <w:pPr>
        <w:pStyle w:val="ListParagraph"/>
        <w:numPr>
          <w:ilvl w:val="0"/>
          <w:numId w:val="120"/>
        </w:numPr>
        <w:rPr>
          <w:rFonts w:cs="Arial"/>
          <w:sz w:val="24"/>
          <w:szCs w:val="24"/>
        </w:rPr>
      </w:pPr>
      <w:r w:rsidRPr="001477F9">
        <w:rPr>
          <w:rFonts w:eastAsia="Times New Roman" w:cs="Arial"/>
          <w:sz w:val="24"/>
          <w:szCs w:val="24"/>
          <w:lang w:eastAsia="en-AU"/>
        </w:rPr>
        <w:t xml:space="preserve">Panels established under Agency Contracts as described above. </w:t>
      </w:r>
    </w:p>
    <w:p w14:paraId="01480D19" w14:textId="77777777" w:rsidR="00A3256A" w:rsidRPr="001477F9" w:rsidRDefault="00A3256A" w:rsidP="00A324D3">
      <w:pPr>
        <w:spacing w:after="240"/>
        <w:ind w:left="425"/>
        <w:jc w:val="both"/>
        <w:rPr>
          <w:sz w:val="24"/>
          <w:szCs w:val="24"/>
        </w:rPr>
      </w:pPr>
      <w:r w:rsidRPr="001477F9">
        <w:rPr>
          <w:sz w:val="24"/>
          <w:szCs w:val="24"/>
        </w:rPr>
        <w:t>Supplier Panels consist of pre-qualified suppliers appointed to provide goods, services or works under agreed terms and conditions.</w:t>
      </w:r>
    </w:p>
    <w:p w14:paraId="442B1C92" w14:textId="77777777" w:rsidR="00A3256A" w:rsidRPr="001477F9" w:rsidRDefault="00A3256A" w:rsidP="00A324D3">
      <w:pPr>
        <w:spacing w:after="240"/>
        <w:ind w:left="425"/>
        <w:jc w:val="both"/>
        <w:rPr>
          <w:sz w:val="24"/>
          <w:szCs w:val="24"/>
        </w:rPr>
      </w:pPr>
      <w:r w:rsidRPr="001477F9">
        <w:rPr>
          <w:sz w:val="24"/>
          <w:szCs w:val="24"/>
        </w:rPr>
        <w:t>Where a Supplier Panel exists, Council officers must procure in accordance with:</w:t>
      </w:r>
    </w:p>
    <w:p w14:paraId="44F3F87D" w14:textId="144A8AE3" w:rsidR="00A3256A" w:rsidRPr="001477F9" w:rsidRDefault="00A3256A" w:rsidP="00A324D3">
      <w:pPr>
        <w:pStyle w:val="ListParagraph"/>
        <w:numPr>
          <w:ilvl w:val="0"/>
          <w:numId w:val="120"/>
        </w:numPr>
        <w:rPr>
          <w:rFonts w:cs="Arial"/>
          <w:sz w:val="24"/>
          <w:szCs w:val="24"/>
        </w:rPr>
      </w:pPr>
      <w:r w:rsidRPr="001477F9">
        <w:rPr>
          <w:rFonts w:eastAsia="Times New Roman" w:cs="Arial"/>
          <w:sz w:val="24"/>
          <w:szCs w:val="24"/>
          <w:lang w:eastAsia="en-AU"/>
        </w:rPr>
        <w:t xml:space="preserve">The panel’s terms and conditions </w:t>
      </w:r>
    </w:p>
    <w:p w14:paraId="5E90A47B" w14:textId="0ABEDE84" w:rsidR="00A3256A" w:rsidRPr="001477F9" w:rsidRDefault="00A3256A" w:rsidP="00A324D3">
      <w:pPr>
        <w:pStyle w:val="ListParagraph"/>
        <w:numPr>
          <w:ilvl w:val="0"/>
          <w:numId w:val="120"/>
        </w:numPr>
        <w:rPr>
          <w:rFonts w:cs="Arial"/>
          <w:sz w:val="24"/>
          <w:szCs w:val="24"/>
        </w:rPr>
      </w:pPr>
      <w:r w:rsidRPr="001477F9">
        <w:rPr>
          <w:rFonts w:eastAsia="Times New Roman" w:cs="Arial"/>
          <w:sz w:val="24"/>
          <w:szCs w:val="24"/>
          <w:lang w:eastAsia="en-AU"/>
        </w:rPr>
        <w:t xml:space="preserve">Any mandatory ordering rules </w:t>
      </w:r>
    </w:p>
    <w:p w14:paraId="01E66EEC" w14:textId="78C89A48" w:rsidR="00A3256A" w:rsidRPr="001477F9" w:rsidRDefault="00A3256A" w:rsidP="00A324D3">
      <w:pPr>
        <w:pStyle w:val="ListParagraph"/>
        <w:numPr>
          <w:ilvl w:val="0"/>
          <w:numId w:val="120"/>
        </w:numPr>
        <w:rPr>
          <w:rFonts w:cs="Arial"/>
          <w:sz w:val="24"/>
          <w:szCs w:val="24"/>
        </w:rPr>
      </w:pPr>
      <w:r w:rsidRPr="001477F9">
        <w:rPr>
          <w:rFonts w:eastAsia="Times New Roman" w:cs="Arial"/>
          <w:sz w:val="24"/>
          <w:szCs w:val="24"/>
          <w:lang w:eastAsia="en-AU"/>
        </w:rPr>
        <w:t xml:space="preserve">Minimum quotation requirements outlined in Appendix A (where applicable) </w:t>
      </w:r>
    </w:p>
    <w:p w14:paraId="0039F621" w14:textId="0B44A66A" w:rsidR="00A3256A" w:rsidRPr="001477F9" w:rsidRDefault="00A3256A" w:rsidP="00A324D3">
      <w:pPr>
        <w:ind w:left="349" w:firstLine="76"/>
        <w:rPr>
          <w:b/>
          <w:bCs/>
          <w:sz w:val="24"/>
          <w:szCs w:val="24"/>
        </w:rPr>
      </w:pPr>
      <w:r w:rsidRPr="001477F9">
        <w:rPr>
          <w:b/>
          <w:bCs/>
          <w:sz w:val="24"/>
          <w:szCs w:val="24"/>
        </w:rPr>
        <w:t>State Government Supplier Registers</w:t>
      </w:r>
    </w:p>
    <w:p w14:paraId="4AA411C7" w14:textId="77777777" w:rsidR="00A3256A" w:rsidRPr="001477F9" w:rsidRDefault="00A3256A" w:rsidP="00A324D3">
      <w:pPr>
        <w:spacing w:after="240"/>
        <w:ind w:left="425"/>
        <w:jc w:val="both"/>
        <w:rPr>
          <w:sz w:val="24"/>
          <w:szCs w:val="24"/>
        </w:rPr>
      </w:pPr>
      <w:r w:rsidRPr="001477F9">
        <w:rPr>
          <w:sz w:val="24"/>
          <w:szCs w:val="24"/>
        </w:rPr>
        <w:t>State Government Supplier Registers are pre-qualified supplier arrangements established by Victorian Government departments or agencies. These registers operate on a pre-qualification basis rather than a Council-run competitive tender process.</w:t>
      </w:r>
    </w:p>
    <w:p w14:paraId="134ADC34" w14:textId="77777777" w:rsidR="00A3256A" w:rsidRPr="001477F9" w:rsidRDefault="00A3256A" w:rsidP="00A324D3">
      <w:pPr>
        <w:spacing w:after="240"/>
        <w:ind w:left="425"/>
        <w:jc w:val="both"/>
        <w:rPr>
          <w:sz w:val="24"/>
          <w:szCs w:val="24"/>
        </w:rPr>
      </w:pPr>
      <w:r w:rsidRPr="001477F9">
        <w:rPr>
          <w:sz w:val="24"/>
          <w:szCs w:val="24"/>
        </w:rPr>
        <w:t>In using these arrangements, Council relies on the State Government’s procurement process, which is conducted in accordance with its legislative, probity and governance frameworks.</w:t>
      </w:r>
    </w:p>
    <w:p w14:paraId="39EE6319" w14:textId="77777777" w:rsidR="00A3256A" w:rsidRPr="001477F9" w:rsidRDefault="00A3256A" w:rsidP="00A324D3">
      <w:pPr>
        <w:spacing w:after="240"/>
        <w:ind w:left="425"/>
        <w:jc w:val="both"/>
        <w:rPr>
          <w:sz w:val="24"/>
          <w:szCs w:val="24"/>
        </w:rPr>
      </w:pPr>
      <w:r w:rsidRPr="001477F9">
        <w:rPr>
          <w:sz w:val="24"/>
          <w:szCs w:val="24"/>
        </w:rPr>
        <w:t>Council officers must comply with:</w:t>
      </w:r>
    </w:p>
    <w:p w14:paraId="095C965E" w14:textId="63B0EA33" w:rsidR="00A3256A" w:rsidRPr="001477F9" w:rsidRDefault="00A3256A" w:rsidP="00A324D3">
      <w:pPr>
        <w:pStyle w:val="ListParagraph"/>
        <w:numPr>
          <w:ilvl w:val="0"/>
          <w:numId w:val="120"/>
        </w:numPr>
        <w:rPr>
          <w:rFonts w:cs="Arial"/>
          <w:sz w:val="24"/>
          <w:szCs w:val="24"/>
        </w:rPr>
      </w:pPr>
      <w:r w:rsidRPr="001477F9">
        <w:rPr>
          <w:rFonts w:eastAsia="Times New Roman" w:cs="Arial"/>
          <w:sz w:val="24"/>
          <w:szCs w:val="24"/>
          <w:lang w:eastAsia="en-AU"/>
        </w:rPr>
        <w:t xml:space="preserve">The processes and conditions set by the relevant State Government body </w:t>
      </w:r>
    </w:p>
    <w:p w14:paraId="40015749" w14:textId="1515A17D" w:rsidR="00A3256A" w:rsidRPr="001477F9" w:rsidRDefault="00A3256A" w:rsidP="00A324D3">
      <w:pPr>
        <w:pStyle w:val="ListParagraph"/>
        <w:numPr>
          <w:ilvl w:val="0"/>
          <w:numId w:val="120"/>
        </w:numPr>
        <w:rPr>
          <w:rFonts w:cs="Arial"/>
          <w:sz w:val="24"/>
          <w:szCs w:val="24"/>
        </w:rPr>
      </w:pPr>
      <w:r w:rsidRPr="001477F9">
        <w:rPr>
          <w:rFonts w:eastAsia="Times New Roman" w:cs="Arial"/>
          <w:sz w:val="24"/>
          <w:szCs w:val="24"/>
          <w:lang w:eastAsia="en-AU"/>
        </w:rPr>
        <w:t>The quotation and procurement thresholds set out in Appendix A of this Policy</w:t>
      </w:r>
    </w:p>
    <w:p w14:paraId="7D22ECDF" w14:textId="144515AE" w:rsidR="00FC507B" w:rsidRPr="001477F9" w:rsidRDefault="00A3256A" w:rsidP="00690B2A">
      <w:pPr>
        <w:spacing w:after="240"/>
        <w:ind w:left="425"/>
        <w:jc w:val="both"/>
        <w:rPr>
          <w:sz w:val="24"/>
          <w:szCs w:val="24"/>
        </w:rPr>
      </w:pPr>
      <w:r w:rsidRPr="001477F9">
        <w:rPr>
          <w:sz w:val="24"/>
          <w:szCs w:val="24"/>
        </w:rPr>
        <w:t>Agency contracts, Supplier Panels and Supplier Registers are an approved procurement method and do not constitute a procurement exemption.</w:t>
      </w:r>
      <w:bookmarkStart w:id="862" w:name="_Toc84884792"/>
      <w:bookmarkStart w:id="863" w:name="_Toc85461578"/>
      <w:bookmarkStart w:id="864" w:name="_Hlk86318276"/>
      <w:bookmarkEnd w:id="860"/>
      <w:bookmarkEnd w:id="861"/>
    </w:p>
    <w:p w14:paraId="5398A296" w14:textId="659056F0" w:rsidR="002D46B3" w:rsidRPr="002C7F3A" w:rsidRDefault="002D46B3" w:rsidP="009F1E3B">
      <w:pPr>
        <w:pStyle w:val="proc1"/>
        <w:numPr>
          <w:ilvl w:val="1"/>
          <w:numId w:val="11"/>
        </w:numPr>
        <w:rPr>
          <w:sz w:val="28"/>
          <w:szCs w:val="28"/>
        </w:rPr>
      </w:pPr>
      <w:bookmarkStart w:id="865" w:name="_Toc240536469"/>
      <w:r w:rsidRPr="002C7F3A">
        <w:rPr>
          <w:sz w:val="28"/>
          <w:szCs w:val="28"/>
        </w:rPr>
        <w:t>Annual Forward Procurement Plan</w:t>
      </w:r>
      <w:bookmarkEnd w:id="865"/>
      <w:r w:rsidRPr="002C7F3A">
        <w:rPr>
          <w:sz w:val="28"/>
          <w:szCs w:val="28"/>
        </w:rPr>
        <w:t xml:space="preserve"> </w:t>
      </w:r>
    </w:p>
    <w:p w14:paraId="2C2750FB" w14:textId="77777777" w:rsidR="00AC75E9" w:rsidRPr="001477F9" w:rsidRDefault="00AC75E9" w:rsidP="00A324D3">
      <w:pPr>
        <w:spacing w:after="240"/>
        <w:ind w:left="425"/>
        <w:jc w:val="both"/>
        <w:rPr>
          <w:sz w:val="24"/>
          <w:szCs w:val="24"/>
        </w:rPr>
      </w:pPr>
      <w:r w:rsidRPr="001477F9">
        <w:rPr>
          <w:sz w:val="24"/>
          <w:szCs w:val="24"/>
        </w:rPr>
        <w:t>Forward Procurement Plans provide a high-level summary of procurements that Council intends to undertake over the next twelve months. These plans are developed for planning and market awareness purposes only and are subject to change, including revision, withdrawal, or cancellation at Council’s discretion.</w:t>
      </w:r>
    </w:p>
    <w:p w14:paraId="7B5A8705" w14:textId="77777777" w:rsidR="00AC75E9" w:rsidRPr="001477F9" w:rsidRDefault="00AC75E9" w:rsidP="00A324D3">
      <w:pPr>
        <w:spacing w:after="240"/>
        <w:ind w:left="425"/>
        <w:jc w:val="both"/>
        <w:rPr>
          <w:sz w:val="24"/>
          <w:szCs w:val="24"/>
        </w:rPr>
      </w:pPr>
      <w:r w:rsidRPr="001477F9">
        <w:rPr>
          <w:sz w:val="24"/>
          <w:szCs w:val="24"/>
        </w:rPr>
        <w:t>At the commencement of each financial year, Council is required to prepare a Forward Procurement Plan for relevant upcoming contracts. The Plan supports transparency, forward planning, and effective market engagement.</w:t>
      </w:r>
    </w:p>
    <w:p w14:paraId="235B9837" w14:textId="5AFAC2DA" w:rsidR="00AC75E9" w:rsidRPr="001477F9" w:rsidRDefault="00AC75E9" w:rsidP="00A324D3">
      <w:pPr>
        <w:spacing w:after="240"/>
        <w:ind w:left="425"/>
        <w:jc w:val="both"/>
        <w:rPr>
          <w:sz w:val="24"/>
          <w:szCs w:val="24"/>
        </w:rPr>
      </w:pPr>
      <w:r w:rsidRPr="001477F9">
        <w:rPr>
          <w:sz w:val="24"/>
          <w:szCs w:val="24"/>
        </w:rPr>
        <w:t>Council’s Forward Procurement Plan will be published on Council’s website and updated annually to reflect current procurement intentions.</w:t>
      </w:r>
    </w:p>
    <w:p w14:paraId="5270E1EA" w14:textId="77777777" w:rsidR="00694501" w:rsidRPr="005F6A36" w:rsidRDefault="00694501" w:rsidP="009F1E3B">
      <w:pPr>
        <w:pStyle w:val="Heading1"/>
        <w:keepLines/>
        <w:numPr>
          <w:ilvl w:val="0"/>
          <w:numId w:val="11"/>
        </w:numPr>
        <w:spacing w:before="480" w:after="0" w:line="276" w:lineRule="auto"/>
        <w:rPr>
          <w:sz w:val="36"/>
          <w:szCs w:val="36"/>
        </w:rPr>
      </w:pPr>
      <w:bookmarkStart w:id="866" w:name="_Toc227674609"/>
      <w:bookmarkStart w:id="867" w:name="_Toc227674746"/>
      <w:bookmarkStart w:id="868" w:name="_Toc227674881"/>
      <w:bookmarkStart w:id="869" w:name="_Toc227675018"/>
      <w:bookmarkStart w:id="870" w:name="_Toc227675155"/>
      <w:bookmarkStart w:id="871" w:name="_Toc227675292"/>
      <w:bookmarkStart w:id="872" w:name="_Toc227675429"/>
      <w:bookmarkStart w:id="873" w:name="_Toc227675566"/>
      <w:bookmarkStart w:id="874" w:name="_Toc227675704"/>
      <w:bookmarkStart w:id="875" w:name="_Toc227675838"/>
      <w:bookmarkStart w:id="876" w:name="_Toc227675963"/>
      <w:bookmarkStart w:id="877" w:name="_Toc84884794"/>
      <w:bookmarkStart w:id="878" w:name="_Toc85461580"/>
      <w:bookmarkStart w:id="879" w:name="_Toc240536470"/>
      <w:bookmarkEnd w:id="862"/>
      <w:bookmarkEnd w:id="863"/>
      <w:bookmarkEnd w:id="864"/>
      <w:bookmarkEnd w:id="866"/>
      <w:bookmarkEnd w:id="867"/>
      <w:bookmarkEnd w:id="868"/>
      <w:bookmarkEnd w:id="869"/>
      <w:bookmarkEnd w:id="870"/>
      <w:bookmarkEnd w:id="871"/>
      <w:bookmarkEnd w:id="872"/>
      <w:bookmarkEnd w:id="873"/>
      <w:bookmarkEnd w:id="874"/>
      <w:bookmarkEnd w:id="875"/>
      <w:bookmarkEnd w:id="876"/>
      <w:r w:rsidRPr="005F6A36">
        <w:rPr>
          <w:sz w:val="36"/>
          <w:szCs w:val="36"/>
        </w:rPr>
        <w:t>Achieving Value for Money</w:t>
      </w:r>
      <w:bookmarkEnd w:id="877"/>
      <w:bookmarkEnd w:id="878"/>
      <w:bookmarkEnd w:id="879"/>
    </w:p>
    <w:p w14:paraId="0A706617" w14:textId="2DF91F04" w:rsidR="00694501" w:rsidRPr="001477F9" w:rsidRDefault="00694501" w:rsidP="00A324D3">
      <w:pPr>
        <w:spacing w:after="240"/>
        <w:ind w:left="425"/>
        <w:jc w:val="both"/>
        <w:rPr>
          <w:sz w:val="24"/>
          <w:szCs w:val="24"/>
        </w:rPr>
      </w:pPr>
      <w:r w:rsidRPr="001477F9">
        <w:rPr>
          <w:sz w:val="24"/>
          <w:szCs w:val="24"/>
        </w:rPr>
        <w:t>Council’s procurement activities will be carried out on the basis of obtaining Value for Money.  This means minimising the total cost of ownership over the lifetime of the requirement consistent with acceptable quality, reliability and delivery considerations.  Lowest price is not the sole determinant of Value for Money.</w:t>
      </w:r>
    </w:p>
    <w:p w14:paraId="15093C14" w14:textId="492796F9" w:rsidR="00694501" w:rsidRPr="001477F9" w:rsidRDefault="00694501" w:rsidP="00A324D3">
      <w:pPr>
        <w:spacing w:after="240"/>
        <w:ind w:left="425"/>
        <w:jc w:val="both"/>
        <w:rPr>
          <w:sz w:val="24"/>
          <w:szCs w:val="24"/>
        </w:rPr>
      </w:pPr>
      <w:r w:rsidRPr="001477F9">
        <w:rPr>
          <w:sz w:val="24"/>
          <w:szCs w:val="24"/>
        </w:rPr>
        <w:t>In assessing Value for Money, staff are responsible for giving due consideration to:</w:t>
      </w:r>
    </w:p>
    <w:p w14:paraId="1E5275D4" w14:textId="77777777" w:rsidR="00694501" w:rsidRPr="001477F9" w:rsidRDefault="00694501" w:rsidP="00A324D3">
      <w:pPr>
        <w:pStyle w:val="ListParagraph"/>
        <w:numPr>
          <w:ilvl w:val="0"/>
          <w:numId w:val="120"/>
        </w:numPr>
        <w:rPr>
          <w:rFonts w:eastAsia="Times New Roman" w:cs="Arial"/>
          <w:sz w:val="24"/>
          <w:szCs w:val="24"/>
          <w:lang w:eastAsia="en-AU"/>
        </w:rPr>
      </w:pPr>
      <w:r w:rsidRPr="001477F9">
        <w:rPr>
          <w:rFonts w:eastAsia="Times New Roman" w:cs="Arial"/>
          <w:sz w:val="24"/>
          <w:szCs w:val="24"/>
          <w:lang w:eastAsia="en-AU"/>
        </w:rPr>
        <w:t>Whole-of-life monetary cost, i.e.</w:t>
      </w:r>
    </w:p>
    <w:p w14:paraId="5C7F0015" w14:textId="77777777" w:rsidR="00694501" w:rsidRPr="001477F9" w:rsidRDefault="00694501" w:rsidP="00195790">
      <w:pPr>
        <w:pStyle w:val="ListParagraph"/>
        <w:numPr>
          <w:ilvl w:val="1"/>
          <w:numId w:val="10"/>
        </w:numPr>
        <w:rPr>
          <w:rFonts w:cs="Arial"/>
          <w:sz w:val="24"/>
          <w:szCs w:val="24"/>
        </w:rPr>
      </w:pPr>
      <w:r w:rsidRPr="001477F9">
        <w:rPr>
          <w:rFonts w:cs="Arial"/>
          <w:sz w:val="24"/>
          <w:szCs w:val="24"/>
        </w:rPr>
        <w:t>procurement price;</w:t>
      </w:r>
    </w:p>
    <w:p w14:paraId="0F331D11" w14:textId="77777777" w:rsidR="00694501" w:rsidRPr="001477F9" w:rsidRDefault="00694501" w:rsidP="00195790">
      <w:pPr>
        <w:pStyle w:val="ListParagraph"/>
        <w:numPr>
          <w:ilvl w:val="1"/>
          <w:numId w:val="10"/>
        </w:numPr>
        <w:rPr>
          <w:rFonts w:cs="Arial"/>
          <w:sz w:val="24"/>
          <w:szCs w:val="24"/>
        </w:rPr>
      </w:pPr>
      <w:r w:rsidRPr="001477F9">
        <w:rPr>
          <w:rFonts w:cs="Arial"/>
          <w:sz w:val="24"/>
          <w:szCs w:val="24"/>
        </w:rPr>
        <w:t>operating and maintenance costs; and</w:t>
      </w:r>
    </w:p>
    <w:p w14:paraId="36EEDD2F" w14:textId="77777777" w:rsidR="00694501" w:rsidRPr="001477F9" w:rsidRDefault="00694501" w:rsidP="00195790">
      <w:pPr>
        <w:pStyle w:val="ListParagraph"/>
        <w:numPr>
          <w:ilvl w:val="1"/>
          <w:numId w:val="10"/>
        </w:numPr>
        <w:rPr>
          <w:rFonts w:cs="Arial"/>
          <w:sz w:val="24"/>
          <w:szCs w:val="24"/>
        </w:rPr>
      </w:pPr>
      <w:r w:rsidRPr="001477F9">
        <w:rPr>
          <w:rFonts w:cs="Arial"/>
          <w:sz w:val="24"/>
          <w:szCs w:val="24"/>
        </w:rPr>
        <w:t>cost of environmentally responsible disposal or recycling/re-use/re-sale of the product;</w:t>
      </w:r>
    </w:p>
    <w:p w14:paraId="04A81CE9" w14:textId="77777777" w:rsidR="00694501" w:rsidRPr="001477F9" w:rsidRDefault="00694501" w:rsidP="00A324D3">
      <w:pPr>
        <w:pStyle w:val="ListParagraph"/>
        <w:numPr>
          <w:ilvl w:val="0"/>
          <w:numId w:val="120"/>
        </w:numPr>
        <w:rPr>
          <w:rFonts w:eastAsia="Times New Roman" w:cs="Arial"/>
          <w:sz w:val="24"/>
          <w:szCs w:val="24"/>
          <w:lang w:eastAsia="en-AU"/>
        </w:rPr>
      </w:pPr>
      <w:r w:rsidRPr="001477F9">
        <w:rPr>
          <w:rFonts w:eastAsia="Times New Roman" w:cs="Arial"/>
          <w:sz w:val="24"/>
          <w:szCs w:val="24"/>
          <w:lang w:eastAsia="en-AU"/>
        </w:rPr>
        <w:t>Non-monetary impacts (both negative and positive) over the life of the product or service; including</w:t>
      </w:r>
    </w:p>
    <w:p w14:paraId="4069B909" w14:textId="77777777" w:rsidR="00694501" w:rsidRPr="001477F9" w:rsidRDefault="00694501" w:rsidP="00195790">
      <w:pPr>
        <w:pStyle w:val="ListParagraph"/>
        <w:numPr>
          <w:ilvl w:val="1"/>
          <w:numId w:val="10"/>
        </w:numPr>
        <w:rPr>
          <w:rFonts w:cs="Arial"/>
          <w:sz w:val="24"/>
          <w:szCs w:val="24"/>
        </w:rPr>
      </w:pPr>
      <w:r w:rsidRPr="001477F9">
        <w:rPr>
          <w:rFonts w:cs="Arial"/>
          <w:sz w:val="24"/>
          <w:szCs w:val="24"/>
        </w:rPr>
        <w:t>environmental impacts;</w:t>
      </w:r>
    </w:p>
    <w:p w14:paraId="32EC766C" w14:textId="7272FE80" w:rsidR="00694501" w:rsidRPr="001477F9" w:rsidRDefault="00694501" w:rsidP="00195790">
      <w:pPr>
        <w:pStyle w:val="ListParagraph"/>
        <w:numPr>
          <w:ilvl w:val="1"/>
          <w:numId w:val="10"/>
        </w:numPr>
        <w:rPr>
          <w:rFonts w:cs="Arial"/>
          <w:sz w:val="24"/>
          <w:szCs w:val="24"/>
        </w:rPr>
      </w:pPr>
      <w:r w:rsidRPr="001477F9">
        <w:rPr>
          <w:rFonts w:cs="Arial"/>
          <w:sz w:val="24"/>
          <w:szCs w:val="24"/>
        </w:rPr>
        <w:t>social impacts – particularly on marginalised or vulnerable people;</w:t>
      </w:r>
    </w:p>
    <w:p w14:paraId="3487D320" w14:textId="77777777" w:rsidR="00694501" w:rsidRPr="001477F9" w:rsidRDefault="00694501" w:rsidP="00195790">
      <w:pPr>
        <w:pStyle w:val="ListParagraph"/>
        <w:numPr>
          <w:ilvl w:val="1"/>
          <w:numId w:val="10"/>
        </w:numPr>
        <w:rPr>
          <w:rFonts w:cs="Arial"/>
          <w:sz w:val="24"/>
          <w:szCs w:val="24"/>
        </w:rPr>
      </w:pPr>
      <w:r w:rsidRPr="001477F9">
        <w:rPr>
          <w:rFonts w:cs="Arial"/>
          <w:sz w:val="24"/>
          <w:szCs w:val="24"/>
        </w:rPr>
        <w:t>cultural impacts and contribution to Yarra’s cultural identity and heritage; and</w:t>
      </w:r>
    </w:p>
    <w:p w14:paraId="2B04D79E" w14:textId="74BA0842" w:rsidR="00420429" w:rsidRPr="001477F9" w:rsidRDefault="00694501" w:rsidP="00A324D3">
      <w:pPr>
        <w:pStyle w:val="ListParagraph"/>
        <w:numPr>
          <w:ilvl w:val="1"/>
          <w:numId w:val="10"/>
        </w:numPr>
        <w:rPr>
          <w:rFonts w:cs="Arial"/>
          <w:sz w:val="24"/>
          <w:szCs w:val="24"/>
        </w:rPr>
      </w:pPr>
      <w:r w:rsidRPr="001477F9">
        <w:rPr>
          <w:rFonts w:cs="Arial"/>
          <w:sz w:val="24"/>
          <w:szCs w:val="24"/>
        </w:rPr>
        <w:t xml:space="preserve">impacts on other Council priorities </w:t>
      </w:r>
    </w:p>
    <w:p w14:paraId="6DB4382F" w14:textId="77777777" w:rsidR="00694501" w:rsidRPr="005F6A36" w:rsidRDefault="00694501" w:rsidP="009F1E3B">
      <w:pPr>
        <w:pStyle w:val="Heading1"/>
        <w:keepLines/>
        <w:numPr>
          <w:ilvl w:val="0"/>
          <w:numId w:val="11"/>
        </w:numPr>
        <w:spacing w:before="480" w:after="0" w:line="276" w:lineRule="auto"/>
        <w:rPr>
          <w:sz w:val="36"/>
          <w:szCs w:val="36"/>
        </w:rPr>
      </w:pPr>
      <w:bookmarkStart w:id="880" w:name="_Toc227674611"/>
      <w:bookmarkStart w:id="881" w:name="_Toc227674748"/>
      <w:bookmarkStart w:id="882" w:name="_Toc227674883"/>
      <w:bookmarkStart w:id="883" w:name="_Toc227675020"/>
      <w:bookmarkStart w:id="884" w:name="_Toc227675157"/>
      <w:bookmarkStart w:id="885" w:name="_Toc227675294"/>
      <w:bookmarkStart w:id="886" w:name="_Toc227675431"/>
      <w:bookmarkStart w:id="887" w:name="_Toc227675568"/>
      <w:bookmarkStart w:id="888" w:name="_Toc227675706"/>
      <w:bookmarkStart w:id="889" w:name="_Toc227675840"/>
      <w:bookmarkStart w:id="890" w:name="_Toc227675965"/>
      <w:bookmarkStart w:id="891" w:name="_Toc78274867"/>
      <w:bookmarkStart w:id="892" w:name="_Toc78275013"/>
      <w:bookmarkStart w:id="893" w:name="_Toc83921444"/>
      <w:bookmarkStart w:id="894" w:name="_Toc84884797"/>
      <w:bookmarkStart w:id="895" w:name="_Toc85461583"/>
      <w:bookmarkStart w:id="896" w:name="_Toc240536471"/>
      <w:bookmarkEnd w:id="880"/>
      <w:bookmarkEnd w:id="881"/>
      <w:bookmarkEnd w:id="882"/>
      <w:bookmarkEnd w:id="883"/>
      <w:bookmarkEnd w:id="884"/>
      <w:bookmarkEnd w:id="885"/>
      <w:bookmarkEnd w:id="886"/>
      <w:bookmarkEnd w:id="887"/>
      <w:bookmarkEnd w:id="888"/>
      <w:bookmarkEnd w:id="889"/>
      <w:bookmarkEnd w:id="890"/>
      <w:r w:rsidRPr="005F6A36">
        <w:rPr>
          <w:sz w:val="36"/>
          <w:szCs w:val="36"/>
        </w:rPr>
        <w:t>Contract Management</w:t>
      </w:r>
      <w:bookmarkEnd w:id="891"/>
      <w:bookmarkEnd w:id="892"/>
      <w:bookmarkEnd w:id="893"/>
      <w:bookmarkEnd w:id="894"/>
      <w:bookmarkEnd w:id="895"/>
      <w:bookmarkEnd w:id="896"/>
    </w:p>
    <w:p w14:paraId="72E58ABC" w14:textId="063D251C" w:rsidR="00321BD2" w:rsidRPr="001477F9" w:rsidRDefault="00321BD2" w:rsidP="00A324D3">
      <w:pPr>
        <w:spacing w:after="240"/>
        <w:ind w:left="425"/>
        <w:jc w:val="both"/>
        <w:rPr>
          <w:sz w:val="24"/>
          <w:szCs w:val="24"/>
        </w:rPr>
      </w:pPr>
      <w:r w:rsidRPr="001477F9">
        <w:rPr>
          <w:sz w:val="24"/>
          <w:szCs w:val="24"/>
        </w:rPr>
        <w:t>Effective contract management is essential to achieving value for money and ensuring that Council and its suppliers meet their contractual obligations. Council’s contract managers are accountable for overseeing contracts throughout their lifecycle and for ensuring that goods, services and works are delivered in accordance with the agreed scope, performance standards, timeframes and financial terms.</w:t>
      </w:r>
    </w:p>
    <w:p w14:paraId="6B08335F" w14:textId="77777777" w:rsidR="00321BD2" w:rsidRPr="001477F9" w:rsidRDefault="00321BD2" w:rsidP="00A324D3">
      <w:pPr>
        <w:spacing w:after="240"/>
        <w:ind w:left="425"/>
        <w:jc w:val="both"/>
        <w:rPr>
          <w:sz w:val="24"/>
          <w:szCs w:val="24"/>
        </w:rPr>
      </w:pPr>
      <w:r w:rsidRPr="001477F9">
        <w:rPr>
          <w:sz w:val="24"/>
          <w:szCs w:val="24"/>
        </w:rPr>
        <w:t>Council will manage contracts in a deliberate and proactive manner proportionate to the value, risk and complexity of each contract. This includes establishing clear performance and reporting requirements, actively monitoring supplier performance, managing issues and risks as they arise, and ensuring that variations, extensions and renewals are appropriately justified, approved and documented.</w:t>
      </w:r>
    </w:p>
    <w:p w14:paraId="551E2752" w14:textId="1E91D7BC" w:rsidR="00D01E68" w:rsidRPr="001477F9" w:rsidRDefault="00D01E68" w:rsidP="00A324D3">
      <w:pPr>
        <w:spacing w:after="240"/>
        <w:ind w:left="425"/>
        <w:jc w:val="both"/>
        <w:rPr>
          <w:sz w:val="24"/>
          <w:szCs w:val="24"/>
        </w:rPr>
      </w:pPr>
      <w:r w:rsidRPr="001477F9">
        <w:rPr>
          <w:sz w:val="24"/>
          <w:szCs w:val="24"/>
        </w:rPr>
        <w:t>Contract managers are accountable not only for compliance, but also for:</w:t>
      </w:r>
    </w:p>
    <w:p w14:paraId="1D474680" w14:textId="07468B61" w:rsidR="00D01E68" w:rsidRPr="001477F9" w:rsidRDefault="00D01E68" w:rsidP="00D01E68">
      <w:pPr>
        <w:pStyle w:val="ListParagraph"/>
        <w:numPr>
          <w:ilvl w:val="0"/>
          <w:numId w:val="126"/>
        </w:numPr>
        <w:rPr>
          <w:rFonts w:eastAsia="Times New Roman" w:cs="Arial"/>
          <w:sz w:val="24"/>
          <w:szCs w:val="24"/>
          <w:lang w:eastAsia="en-AU"/>
        </w:rPr>
      </w:pPr>
      <w:r w:rsidRPr="001477F9">
        <w:rPr>
          <w:rFonts w:eastAsia="Times New Roman" w:cs="Arial"/>
          <w:sz w:val="24"/>
          <w:szCs w:val="24"/>
          <w:lang w:eastAsia="en-AU"/>
        </w:rPr>
        <w:t>Service delivery outcomes,</w:t>
      </w:r>
    </w:p>
    <w:p w14:paraId="5143BDE3" w14:textId="6A9F0587" w:rsidR="00D01E68" w:rsidRPr="001477F9" w:rsidRDefault="00D01E68" w:rsidP="00D01E68">
      <w:pPr>
        <w:pStyle w:val="ListParagraph"/>
        <w:numPr>
          <w:ilvl w:val="0"/>
          <w:numId w:val="126"/>
        </w:numPr>
        <w:rPr>
          <w:rFonts w:eastAsia="Times New Roman" w:cs="Arial"/>
          <w:sz w:val="24"/>
          <w:szCs w:val="24"/>
          <w:lang w:eastAsia="en-AU"/>
        </w:rPr>
      </w:pPr>
      <w:r w:rsidRPr="001477F9">
        <w:rPr>
          <w:rFonts w:eastAsia="Times New Roman" w:cs="Arial"/>
          <w:sz w:val="24"/>
          <w:szCs w:val="24"/>
          <w:lang w:eastAsia="en-AU"/>
        </w:rPr>
        <w:t>Contract performance, and</w:t>
      </w:r>
    </w:p>
    <w:p w14:paraId="1D5F6213" w14:textId="614F88B8" w:rsidR="00D01E68" w:rsidRPr="001477F9" w:rsidRDefault="00D01E68" w:rsidP="00A324D3">
      <w:pPr>
        <w:pStyle w:val="ListParagraph"/>
        <w:numPr>
          <w:ilvl w:val="0"/>
          <w:numId w:val="126"/>
        </w:numPr>
        <w:rPr>
          <w:rFonts w:cs="Arial"/>
          <w:sz w:val="24"/>
          <w:szCs w:val="24"/>
        </w:rPr>
      </w:pPr>
      <w:r w:rsidRPr="001477F9">
        <w:rPr>
          <w:rFonts w:eastAsia="Times New Roman" w:cs="Arial"/>
          <w:sz w:val="24"/>
          <w:szCs w:val="24"/>
          <w:lang w:eastAsia="en-AU"/>
        </w:rPr>
        <w:t>Managing foreseeable risks.</w:t>
      </w:r>
    </w:p>
    <w:p w14:paraId="5E816548" w14:textId="072317C7" w:rsidR="00AB6E40" w:rsidRPr="001477F9" w:rsidRDefault="00321BD2" w:rsidP="00A324D3">
      <w:pPr>
        <w:spacing w:after="240"/>
        <w:ind w:left="425"/>
        <w:jc w:val="both"/>
        <w:rPr>
          <w:sz w:val="24"/>
          <w:szCs w:val="24"/>
        </w:rPr>
      </w:pPr>
      <w:r w:rsidRPr="001477F9">
        <w:rPr>
          <w:sz w:val="24"/>
          <w:szCs w:val="24"/>
        </w:rPr>
        <w:t>Guidance, tools and templates to support effective contract management are provided through Council’s Procurement Manual and associated intranet resources. Contract managers are expected to apply these resources to ensure contracts are administered consistently, transparently and in a manner that withstands public, audit and regulatory scrutiny.</w:t>
      </w:r>
    </w:p>
    <w:p w14:paraId="0E06451B" w14:textId="09437F86" w:rsidR="009A1157" w:rsidRPr="001477F9" w:rsidRDefault="00AB6E40" w:rsidP="00A324D3">
      <w:pPr>
        <w:spacing w:after="240"/>
        <w:ind w:left="425"/>
        <w:jc w:val="both"/>
        <w:rPr>
          <w:sz w:val="24"/>
          <w:szCs w:val="24"/>
        </w:rPr>
      </w:pPr>
      <w:r w:rsidRPr="001477F9">
        <w:rPr>
          <w:sz w:val="24"/>
          <w:szCs w:val="24"/>
        </w:rPr>
        <w:t>Ong</w:t>
      </w:r>
      <w:r w:rsidR="003F6CCD" w:rsidRPr="001477F9">
        <w:rPr>
          <w:sz w:val="24"/>
          <w:szCs w:val="24"/>
        </w:rPr>
        <w:t xml:space="preserve">oing procurement and contract management training will be delivered to staff with responsibility for these </w:t>
      </w:r>
      <w:r w:rsidR="00D1042D" w:rsidRPr="001477F9">
        <w:rPr>
          <w:sz w:val="24"/>
          <w:szCs w:val="24"/>
        </w:rPr>
        <w:t>activities.</w:t>
      </w:r>
    </w:p>
    <w:p w14:paraId="13B65044" w14:textId="265688FA" w:rsidR="00694501" w:rsidRPr="002C7F3A" w:rsidRDefault="00735C85" w:rsidP="009F1E3B">
      <w:pPr>
        <w:pStyle w:val="proc1"/>
        <w:numPr>
          <w:ilvl w:val="1"/>
          <w:numId w:val="11"/>
        </w:numPr>
        <w:rPr>
          <w:sz w:val="28"/>
          <w:szCs w:val="28"/>
        </w:rPr>
      </w:pPr>
      <w:bookmarkStart w:id="897" w:name="_Toc227674613"/>
      <w:bookmarkStart w:id="898" w:name="_Toc227674750"/>
      <w:bookmarkStart w:id="899" w:name="_Toc227674885"/>
      <w:bookmarkStart w:id="900" w:name="_Toc227675022"/>
      <w:bookmarkStart w:id="901" w:name="_Toc227675159"/>
      <w:bookmarkStart w:id="902" w:name="_Toc227675296"/>
      <w:bookmarkStart w:id="903" w:name="_Toc227675433"/>
      <w:bookmarkStart w:id="904" w:name="_Toc227675570"/>
      <w:bookmarkStart w:id="905" w:name="_Toc227675708"/>
      <w:bookmarkStart w:id="906" w:name="_Toc227675842"/>
      <w:bookmarkStart w:id="907" w:name="_Toc227675967"/>
      <w:bookmarkStart w:id="908" w:name="_Toc227674614"/>
      <w:bookmarkStart w:id="909" w:name="_Toc227674751"/>
      <w:bookmarkStart w:id="910" w:name="_Toc227674886"/>
      <w:bookmarkStart w:id="911" w:name="_Toc227675023"/>
      <w:bookmarkStart w:id="912" w:name="_Toc227675160"/>
      <w:bookmarkStart w:id="913" w:name="_Toc227675297"/>
      <w:bookmarkStart w:id="914" w:name="_Toc227675434"/>
      <w:bookmarkStart w:id="915" w:name="_Toc227675571"/>
      <w:bookmarkStart w:id="916" w:name="_Toc227675709"/>
      <w:bookmarkStart w:id="917" w:name="_Toc227675843"/>
      <w:bookmarkStart w:id="918" w:name="_Toc227675968"/>
      <w:bookmarkStart w:id="919" w:name="_Toc227674615"/>
      <w:bookmarkStart w:id="920" w:name="_Toc227674752"/>
      <w:bookmarkStart w:id="921" w:name="_Toc227674887"/>
      <w:bookmarkStart w:id="922" w:name="_Toc227675024"/>
      <w:bookmarkStart w:id="923" w:name="_Toc227675161"/>
      <w:bookmarkStart w:id="924" w:name="_Toc227675298"/>
      <w:bookmarkStart w:id="925" w:name="_Toc227675435"/>
      <w:bookmarkStart w:id="926" w:name="_Toc227675572"/>
      <w:bookmarkStart w:id="927" w:name="_Toc227675710"/>
      <w:bookmarkStart w:id="928" w:name="_Toc227675844"/>
      <w:bookmarkStart w:id="929" w:name="_Toc227675969"/>
      <w:bookmarkStart w:id="930" w:name="_Toc227674616"/>
      <w:bookmarkStart w:id="931" w:name="_Toc227674753"/>
      <w:bookmarkStart w:id="932" w:name="_Toc227674888"/>
      <w:bookmarkStart w:id="933" w:name="_Toc227675025"/>
      <w:bookmarkStart w:id="934" w:name="_Toc227675162"/>
      <w:bookmarkStart w:id="935" w:name="_Toc227675299"/>
      <w:bookmarkStart w:id="936" w:name="_Toc227675436"/>
      <w:bookmarkStart w:id="937" w:name="_Toc227675573"/>
      <w:bookmarkStart w:id="938" w:name="_Toc227675711"/>
      <w:bookmarkStart w:id="939" w:name="_Toc227675845"/>
      <w:bookmarkStart w:id="940" w:name="_Toc227675970"/>
      <w:bookmarkStart w:id="941" w:name="_Toc84884798"/>
      <w:bookmarkStart w:id="942" w:name="_Toc85461584"/>
      <w:bookmarkStart w:id="943" w:name="_Toc240536472"/>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r w:rsidRPr="002C7F3A">
        <w:rPr>
          <w:sz w:val="28"/>
          <w:szCs w:val="28"/>
        </w:rPr>
        <w:t>Contract Variations</w:t>
      </w:r>
      <w:bookmarkEnd w:id="941"/>
      <w:bookmarkEnd w:id="942"/>
      <w:bookmarkEnd w:id="943"/>
    </w:p>
    <w:p w14:paraId="5A9294DB" w14:textId="77777777" w:rsidR="005663C3" w:rsidRPr="001477F9" w:rsidRDefault="005663C3" w:rsidP="00A324D3">
      <w:pPr>
        <w:spacing w:after="240"/>
        <w:ind w:left="425"/>
        <w:jc w:val="both"/>
        <w:rPr>
          <w:sz w:val="24"/>
          <w:szCs w:val="24"/>
        </w:rPr>
      </w:pPr>
      <w:r w:rsidRPr="001477F9">
        <w:rPr>
          <w:sz w:val="24"/>
          <w:szCs w:val="24"/>
        </w:rPr>
        <w:t>A contract variation is any change to the terms of an executed contract. Variations may be financial (affecting the Total Contract Value) or non</w:t>
      </w:r>
      <w:r w:rsidRPr="001477F9">
        <w:rPr>
          <w:sz w:val="24"/>
          <w:szCs w:val="24"/>
        </w:rPr>
        <w:noBreakHyphen/>
        <w:t>financial (affecting matters such as scope, timeframes, or specifications).</w:t>
      </w:r>
    </w:p>
    <w:p w14:paraId="62E3C571" w14:textId="1392789D" w:rsidR="005663C3" w:rsidRPr="001477F9" w:rsidRDefault="005663C3" w:rsidP="00A324D3">
      <w:pPr>
        <w:spacing w:after="240"/>
        <w:ind w:left="425"/>
        <w:jc w:val="both"/>
        <w:rPr>
          <w:sz w:val="24"/>
          <w:szCs w:val="24"/>
        </w:rPr>
      </w:pPr>
      <w:r w:rsidRPr="001477F9">
        <w:rPr>
          <w:sz w:val="24"/>
          <w:szCs w:val="24"/>
        </w:rPr>
        <w:t>All financial variations must be approved in accordance with the delegation limits (as outlined in Appendix B)</w:t>
      </w:r>
      <w:r w:rsidR="004266F9" w:rsidRPr="001477F9">
        <w:rPr>
          <w:sz w:val="24"/>
          <w:szCs w:val="24"/>
        </w:rPr>
        <w:t>, and in line with the procurement principles outlined in section 2 of this policy.</w:t>
      </w:r>
      <w:r w:rsidRPr="001477F9">
        <w:rPr>
          <w:sz w:val="24"/>
          <w:szCs w:val="24"/>
        </w:rPr>
        <w:t xml:space="preserve"> For approval purposes, the value of a variation is the cumulative value of all financial variations made since the contract commenced, including the proposed variation.</w:t>
      </w:r>
    </w:p>
    <w:p w14:paraId="748A4C4E" w14:textId="77777777" w:rsidR="005663C3" w:rsidRPr="001477F9" w:rsidRDefault="005663C3" w:rsidP="00A324D3">
      <w:pPr>
        <w:spacing w:after="240"/>
        <w:ind w:left="425"/>
        <w:jc w:val="both"/>
        <w:rPr>
          <w:sz w:val="24"/>
          <w:szCs w:val="24"/>
        </w:rPr>
      </w:pPr>
      <w:r w:rsidRPr="001477F9">
        <w:rPr>
          <w:sz w:val="24"/>
          <w:szCs w:val="24"/>
        </w:rPr>
        <w:t>All variations must be properly documented and managed transparently to protect the integrity of the original procurement process. Variations must remain consistent with the intent of the original procurement and must not be used to materially expand scope or bypass competitive procurement requirements.</w:t>
      </w:r>
    </w:p>
    <w:p w14:paraId="7FDCE118" w14:textId="5638049B" w:rsidR="005663C3" w:rsidRDefault="00DB4317" w:rsidP="00A324D3">
      <w:pPr>
        <w:spacing w:after="240"/>
        <w:ind w:left="425"/>
        <w:jc w:val="both"/>
        <w:rPr>
          <w:sz w:val="24"/>
          <w:szCs w:val="24"/>
        </w:rPr>
      </w:pPr>
      <w:r w:rsidRPr="001477F9">
        <w:rPr>
          <w:sz w:val="24"/>
          <w:szCs w:val="24"/>
        </w:rPr>
        <w:t>Under this Policy, 20% of the Total Contract Value is the standard variation limit; cumulative variations exceeding that threshold require approval at the higher delegation levels set out in Appendix B. Where a Council resolution approves a specific procurement or contract outcome with a variation limit that differs from this standard 20% limit, that resolution's limit applies instead and prevails over the standard variation approval process</w:t>
      </w:r>
      <w:r w:rsidR="00CD3EF5" w:rsidRPr="001477F9">
        <w:rPr>
          <w:sz w:val="24"/>
          <w:szCs w:val="24"/>
        </w:rPr>
        <w:t>.</w:t>
      </w:r>
      <w:r w:rsidR="005663C3" w:rsidRPr="001477F9">
        <w:rPr>
          <w:sz w:val="24"/>
          <w:szCs w:val="24"/>
        </w:rPr>
        <w:t xml:space="preserve"> Any such override must be clearly stated in the relevant Council report and resolution.</w:t>
      </w:r>
    </w:p>
    <w:p w14:paraId="40DD54A8" w14:textId="77777777" w:rsidR="00694501" w:rsidRPr="005F6A36" w:rsidRDefault="00694501" w:rsidP="009F1E3B">
      <w:pPr>
        <w:pStyle w:val="Heading1"/>
        <w:keepLines/>
        <w:numPr>
          <w:ilvl w:val="0"/>
          <w:numId w:val="11"/>
        </w:numPr>
        <w:spacing w:before="480" w:after="0" w:line="276" w:lineRule="auto"/>
        <w:rPr>
          <w:sz w:val="36"/>
          <w:szCs w:val="36"/>
        </w:rPr>
      </w:pPr>
      <w:bookmarkStart w:id="944" w:name="_Toc227253344"/>
      <w:bookmarkStart w:id="945" w:name="_Toc227253435"/>
      <w:bookmarkStart w:id="946" w:name="_Toc227674618"/>
      <w:bookmarkStart w:id="947" w:name="_Toc227674755"/>
      <w:bookmarkStart w:id="948" w:name="_Toc227674890"/>
      <w:bookmarkStart w:id="949" w:name="_Toc227675027"/>
      <w:bookmarkStart w:id="950" w:name="_Toc227675164"/>
      <w:bookmarkStart w:id="951" w:name="_Toc227675301"/>
      <w:bookmarkStart w:id="952" w:name="_Toc227675438"/>
      <w:bookmarkStart w:id="953" w:name="_Toc227675575"/>
      <w:bookmarkStart w:id="954" w:name="_Toc227675713"/>
      <w:bookmarkStart w:id="955" w:name="_Toc227675847"/>
      <w:bookmarkStart w:id="956" w:name="_Toc227675972"/>
      <w:bookmarkStart w:id="957" w:name="_Toc227253345"/>
      <w:bookmarkStart w:id="958" w:name="_Toc227253436"/>
      <w:bookmarkStart w:id="959" w:name="_Toc227674619"/>
      <w:bookmarkStart w:id="960" w:name="_Toc227674756"/>
      <w:bookmarkStart w:id="961" w:name="_Toc227674891"/>
      <w:bookmarkStart w:id="962" w:name="_Toc227675028"/>
      <w:bookmarkStart w:id="963" w:name="_Toc227675165"/>
      <w:bookmarkStart w:id="964" w:name="_Toc227675302"/>
      <w:bookmarkStart w:id="965" w:name="_Toc227675439"/>
      <w:bookmarkStart w:id="966" w:name="_Toc227675576"/>
      <w:bookmarkStart w:id="967" w:name="_Toc227675714"/>
      <w:bookmarkStart w:id="968" w:name="_Toc227675848"/>
      <w:bookmarkStart w:id="969" w:name="_Toc227675973"/>
      <w:bookmarkStart w:id="970" w:name="_Toc227253346"/>
      <w:bookmarkStart w:id="971" w:name="_Toc227253437"/>
      <w:bookmarkStart w:id="972" w:name="_Toc227674620"/>
      <w:bookmarkStart w:id="973" w:name="_Toc227674757"/>
      <w:bookmarkStart w:id="974" w:name="_Toc227674892"/>
      <w:bookmarkStart w:id="975" w:name="_Toc227675029"/>
      <w:bookmarkStart w:id="976" w:name="_Toc227675166"/>
      <w:bookmarkStart w:id="977" w:name="_Toc227675303"/>
      <w:bookmarkStart w:id="978" w:name="_Toc227675440"/>
      <w:bookmarkStart w:id="979" w:name="_Toc227675577"/>
      <w:bookmarkStart w:id="980" w:name="_Toc227675715"/>
      <w:bookmarkStart w:id="981" w:name="_Toc227675849"/>
      <w:bookmarkStart w:id="982" w:name="_Toc227675974"/>
      <w:bookmarkStart w:id="983" w:name="_Toc227253347"/>
      <w:bookmarkStart w:id="984" w:name="_Toc227253438"/>
      <w:bookmarkStart w:id="985" w:name="_Toc227674621"/>
      <w:bookmarkStart w:id="986" w:name="_Toc227674758"/>
      <w:bookmarkStart w:id="987" w:name="_Toc227674893"/>
      <w:bookmarkStart w:id="988" w:name="_Toc227675030"/>
      <w:bookmarkStart w:id="989" w:name="_Toc227675167"/>
      <w:bookmarkStart w:id="990" w:name="_Toc227675304"/>
      <w:bookmarkStart w:id="991" w:name="_Toc227675441"/>
      <w:bookmarkStart w:id="992" w:name="_Toc227675578"/>
      <w:bookmarkStart w:id="993" w:name="_Toc227675716"/>
      <w:bookmarkStart w:id="994" w:name="_Toc227675850"/>
      <w:bookmarkStart w:id="995" w:name="_Toc227675975"/>
      <w:bookmarkStart w:id="996" w:name="_Toc227253348"/>
      <w:bookmarkStart w:id="997" w:name="_Toc227253439"/>
      <w:bookmarkStart w:id="998" w:name="_Toc227674622"/>
      <w:bookmarkStart w:id="999" w:name="_Toc227674759"/>
      <w:bookmarkStart w:id="1000" w:name="_Toc227674894"/>
      <w:bookmarkStart w:id="1001" w:name="_Toc227675031"/>
      <w:bookmarkStart w:id="1002" w:name="_Toc227675168"/>
      <w:bookmarkStart w:id="1003" w:name="_Toc227675305"/>
      <w:bookmarkStart w:id="1004" w:name="_Toc227675442"/>
      <w:bookmarkStart w:id="1005" w:name="_Toc227675579"/>
      <w:bookmarkStart w:id="1006" w:name="_Toc227675717"/>
      <w:bookmarkStart w:id="1007" w:name="_Toc227675851"/>
      <w:bookmarkStart w:id="1008" w:name="_Toc227675976"/>
      <w:bookmarkStart w:id="1009" w:name="_Toc227253349"/>
      <w:bookmarkStart w:id="1010" w:name="_Toc227253440"/>
      <w:bookmarkStart w:id="1011" w:name="_Toc227674623"/>
      <w:bookmarkStart w:id="1012" w:name="_Toc227674760"/>
      <w:bookmarkStart w:id="1013" w:name="_Toc227674895"/>
      <w:bookmarkStart w:id="1014" w:name="_Toc227675032"/>
      <w:bookmarkStart w:id="1015" w:name="_Toc227675169"/>
      <w:bookmarkStart w:id="1016" w:name="_Toc227675306"/>
      <w:bookmarkStart w:id="1017" w:name="_Toc227675443"/>
      <w:bookmarkStart w:id="1018" w:name="_Toc227675580"/>
      <w:bookmarkStart w:id="1019" w:name="_Toc227675718"/>
      <w:bookmarkStart w:id="1020" w:name="_Toc227675852"/>
      <w:bookmarkStart w:id="1021" w:name="_Toc227675977"/>
      <w:bookmarkStart w:id="1022" w:name="_Toc227253350"/>
      <w:bookmarkStart w:id="1023" w:name="_Toc227253441"/>
      <w:bookmarkStart w:id="1024" w:name="_Toc227674624"/>
      <w:bookmarkStart w:id="1025" w:name="_Toc227674761"/>
      <w:bookmarkStart w:id="1026" w:name="_Toc227674896"/>
      <w:bookmarkStart w:id="1027" w:name="_Toc227675033"/>
      <w:bookmarkStart w:id="1028" w:name="_Toc227675170"/>
      <w:bookmarkStart w:id="1029" w:name="_Toc227675307"/>
      <w:bookmarkStart w:id="1030" w:name="_Toc227675444"/>
      <w:bookmarkStart w:id="1031" w:name="_Toc227675581"/>
      <w:bookmarkStart w:id="1032" w:name="_Toc227675719"/>
      <w:bookmarkStart w:id="1033" w:name="_Toc227675853"/>
      <w:bookmarkStart w:id="1034" w:name="_Toc227675978"/>
      <w:bookmarkStart w:id="1035" w:name="_Toc227253351"/>
      <w:bookmarkStart w:id="1036" w:name="_Toc227253442"/>
      <w:bookmarkStart w:id="1037" w:name="_Toc227674625"/>
      <w:bookmarkStart w:id="1038" w:name="_Toc227674762"/>
      <w:bookmarkStart w:id="1039" w:name="_Toc227674897"/>
      <w:bookmarkStart w:id="1040" w:name="_Toc227675034"/>
      <w:bookmarkStart w:id="1041" w:name="_Toc227675171"/>
      <w:bookmarkStart w:id="1042" w:name="_Toc227675308"/>
      <w:bookmarkStart w:id="1043" w:name="_Toc227675445"/>
      <w:bookmarkStart w:id="1044" w:name="_Toc227675582"/>
      <w:bookmarkStart w:id="1045" w:name="_Toc227675720"/>
      <w:bookmarkStart w:id="1046" w:name="_Toc227675854"/>
      <w:bookmarkStart w:id="1047" w:name="_Toc227675979"/>
      <w:bookmarkStart w:id="1048" w:name="_Toc84884800"/>
      <w:bookmarkStart w:id="1049" w:name="_Toc85461586"/>
      <w:bookmarkStart w:id="1050" w:name="_Toc24053647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r w:rsidRPr="005F6A36">
        <w:rPr>
          <w:sz w:val="36"/>
          <w:szCs w:val="36"/>
        </w:rPr>
        <w:t>Effective Legislative and Policy Compliance and Control</w:t>
      </w:r>
      <w:bookmarkEnd w:id="1048"/>
      <w:bookmarkEnd w:id="1049"/>
      <w:bookmarkEnd w:id="1050"/>
      <w:r w:rsidRPr="005F6A36">
        <w:rPr>
          <w:sz w:val="36"/>
          <w:szCs w:val="36"/>
        </w:rPr>
        <w:t xml:space="preserve"> </w:t>
      </w:r>
      <w:bookmarkStart w:id="1051" w:name="_Toc83923995"/>
      <w:bookmarkStart w:id="1052" w:name="_Toc83929109"/>
      <w:bookmarkStart w:id="1053" w:name="_Toc83931184"/>
      <w:bookmarkStart w:id="1054" w:name="_Toc83931270"/>
      <w:bookmarkStart w:id="1055" w:name="_Toc83931356"/>
      <w:bookmarkStart w:id="1056" w:name="_Toc83923996"/>
      <w:bookmarkStart w:id="1057" w:name="_Toc83929110"/>
      <w:bookmarkStart w:id="1058" w:name="_Toc83931185"/>
      <w:bookmarkStart w:id="1059" w:name="_Toc83931271"/>
      <w:bookmarkStart w:id="1060" w:name="_Toc83931357"/>
      <w:bookmarkStart w:id="1061" w:name="_Toc83923997"/>
      <w:bookmarkStart w:id="1062" w:name="_Toc83929111"/>
      <w:bookmarkStart w:id="1063" w:name="_Toc83931186"/>
      <w:bookmarkStart w:id="1064" w:name="_Toc83931272"/>
      <w:bookmarkStart w:id="1065" w:name="_Toc83931358"/>
      <w:bookmarkStart w:id="1066" w:name="_Toc83923998"/>
      <w:bookmarkStart w:id="1067" w:name="_Toc83929112"/>
      <w:bookmarkStart w:id="1068" w:name="_Toc83931187"/>
      <w:bookmarkStart w:id="1069" w:name="_Toc83931273"/>
      <w:bookmarkStart w:id="1070" w:name="_Toc83931359"/>
      <w:bookmarkStart w:id="1071" w:name="_Toc83923999"/>
      <w:bookmarkStart w:id="1072" w:name="_Toc83929113"/>
      <w:bookmarkStart w:id="1073" w:name="_Toc83931188"/>
      <w:bookmarkStart w:id="1074" w:name="_Toc83931274"/>
      <w:bookmarkStart w:id="1075" w:name="_Toc83931360"/>
      <w:bookmarkStart w:id="1076" w:name="_Toc83924000"/>
      <w:bookmarkStart w:id="1077" w:name="_Toc83929114"/>
      <w:bookmarkStart w:id="1078" w:name="_Toc83931189"/>
      <w:bookmarkStart w:id="1079" w:name="_Toc83931275"/>
      <w:bookmarkStart w:id="1080" w:name="_Toc83931361"/>
      <w:bookmarkStart w:id="1081" w:name="_Toc83924001"/>
      <w:bookmarkStart w:id="1082" w:name="_Toc83929115"/>
      <w:bookmarkStart w:id="1083" w:name="_Toc83931190"/>
      <w:bookmarkStart w:id="1084" w:name="_Toc83931276"/>
      <w:bookmarkStart w:id="1085" w:name="_Toc83931362"/>
      <w:bookmarkStart w:id="1086" w:name="_Toc83924002"/>
      <w:bookmarkStart w:id="1087" w:name="_Toc83929116"/>
      <w:bookmarkStart w:id="1088" w:name="_Toc83931191"/>
      <w:bookmarkStart w:id="1089" w:name="_Toc83931277"/>
      <w:bookmarkStart w:id="1090" w:name="_Toc83931363"/>
      <w:bookmarkStart w:id="1091" w:name="_Toc83924003"/>
      <w:bookmarkStart w:id="1092" w:name="_Toc83929117"/>
      <w:bookmarkStart w:id="1093" w:name="_Toc83931192"/>
      <w:bookmarkStart w:id="1094" w:name="_Toc83931278"/>
      <w:bookmarkStart w:id="1095" w:name="_Toc83931364"/>
      <w:bookmarkStart w:id="1096" w:name="_Toc83924004"/>
      <w:bookmarkStart w:id="1097" w:name="_Toc83929118"/>
      <w:bookmarkStart w:id="1098" w:name="_Toc83931193"/>
      <w:bookmarkStart w:id="1099" w:name="_Toc83931279"/>
      <w:bookmarkStart w:id="1100" w:name="_Toc83931365"/>
      <w:bookmarkStart w:id="1101" w:name="_Toc83924005"/>
      <w:bookmarkStart w:id="1102" w:name="_Toc83929119"/>
      <w:bookmarkStart w:id="1103" w:name="_Toc83931194"/>
      <w:bookmarkStart w:id="1104" w:name="_Toc83931280"/>
      <w:bookmarkStart w:id="1105" w:name="_Toc83931366"/>
      <w:bookmarkStart w:id="1106" w:name="_Toc83924006"/>
      <w:bookmarkStart w:id="1107" w:name="_Toc83929120"/>
      <w:bookmarkStart w:id="1108" w:name="_Toc83931195"/>
      <w:bookmarkStart w:id="1109" w:name="_Toc83931281"/>
      <w:bookmarkStart w:id="1110" w:name="_Toc83931367"/>
      <w:bookmarkStart w:id="1111" w:name="_Toc83924007"/>
      <w:bookmarkStart w:id="1112" w:name="_Toc83929121"/>
      <w:bookmarkStart w:id="1113" w:name="_Toc83931196"/>
      <w:bookmarkStart w:id="1114" w:name="_Toc83931282"/>
      <w:bookmarkStart w:id="1115" w:name="_Toc83931368"/>
      <w:bookmarkStart w:id="1116" w:name="_Toc83924008"/>
      <w:bookmarkStart w:id="1117" w:name="_Toc83929122"/>
      <w:bookmarkStart w:id="1118" w:name="_Toc83931197"/>
      <w:bookmarkStart w:id="1119" w:name="_Toc83931283"/>
      <w:bookmarkStart w:id="1120" w:name="_Toc83931369"/>
      <w:bookmarkStart w:id="1121" w:name="_Toc83924009"/>
      <w:bookmarkStart w:id="1122" w:name="_Toc83929123"/>
      <w:bookmarkStart w:id="1123" w:name="_Toc83931198"/>
      <w:bookmarkStart w:id="1124" w:name="_Toc83931284"/>
      <w:bookmarkStart w:id="1125" w:name="_Toc83931370"/>
      <w:bookmarkStart w:id="1126" w:name="_Toc83924010"/>
      <w:bookmarkStart w:id="1127" w:name="_Toc83929124"/>
      <w:bookmarkStart w:id="1128" w:name="_Toc83931199"/>
      <w:bookmarkStart w:id="1129" w:name="_Toc83931285"/>
      <w:bookmarkStart w:id="1130" w:name="_Toc83931371"/>
      <w:bookmarkStart w:id="1131" w:name="_Toc83924011"/>
      <w:bookmarkStart w:id="1132" w:name="_Toc83929125"/>
      <w:bookmarkStart w:id="1133" w:name="_Toc83931200"/>
      <w:bookmarkStart w:id="1134" w:name="_Toc83931286"/>
      <w:bookmarkStart w:id="1135" w:name="_Toc83931372"/>
      <w:bookmarkStart w:id="1136" w:name="_Toc83924012"/>
      <w:bookmarkStart w:id="1137" w:name="_Toc83929126"/>
      <w:bookmarkStart w:id="1138" w:name="_Toc83931201"/>
      <w:bookmarkStart w:id="1139" w:name="_Toc83931287"/>
      <w:bookmarkStart w:id="1140" w:name="_Toc83931373"/>
      <w:bookmarkStart w:id="1141" w:name="_Toc83924013"/>
      <w:bookmarkStart w:id="1142" w:name="_Toc83929127"/>
      <w:bookmarkStart w:id="1143" w:name="_Toc83931202"/>
      <w:bookmarkStart w:id="1144" w:name="_Toc83931288"/>
      <w:bookmarkStart w:id="1145" w:name="_Toc83931374"/>
      <w:bookmarkStart w:id="1146" w:name="_Toc83924014"/>
      <w:bookmarkStart w:id="1147" w:name="_Toc83929128"/>
      <w:bookmarkStart w:id="1148" w:name="_Toc83931203"/>
      <w:bookmarkStart w:id="1149" w:name="_Toc83931289"/>
      <w:bookmarkStart w:id="1150" w:name="_Toc83931375"/>
      <w:bookmarkStart w:id="1151" w:name="_Toc83924015"/>
      <w:bookmarkStart w:id="1152" w:name="_Toc83929129"/>
      <w:bookmarkStart w:id="1153" w:name="_Toc83931204"/>
      <w:bookmarkStart w:id="1154" w:name="_Toc83931290"/>
      <w:bookmarkStart w:id="1155" w:name="_Toc83931376"/>
      <w:bookmarkStart w:id="1156" w:name="_Toc83924016"/>
      <w:bookmarkStart w:id="1157" w:name="_Toc83929130"/>
      <w:bookmarkStart w:id="1158" w:name="_Toc83931205"/>
      <w:bookmarkStart w:id="1159" w:name="_Toc83931291"/>
      <w:bookmarkStart w:id="1160" w:name="_Toc83931377"/>
      <w:bookmarkStart w:id="1161" w:name="_Toc83924017"/>
      <w:bookmarkStart w:id="1162" w:name="_Toc83929131"/>
      <w:bookmarkStart w:id="1163" w:name="_Toc83931206"/>
      <w:bookmarkStart w:id="1164" w:name="_Toc83931292"/>
      <w:bookmarkStart w:id="1165" w:name="_Toc83931378"/>
      <w:bookmarkStart w:id="1166" w:name="_Toc83924018"/>
      <w:bookmarkStart w:id="1167" w:name="_Toc83929132"/>
      <w:bookmarkStart w:id="1168" w:name="_Toc83931207"/>
      <w:bookmarkStart w:id="1169" w:name="_Toc83931293"/>
      <w:bookmarkStart w:id="1170" w:name="_Toc83931379"/>
      <w:bookmarkStart w:id="1171" w:name="_Toc83924019"/>
      <w:bookmarkStart w:id="1172" w:name="_Toc83929133"/>
      <w:bookmarkStart w:id="1173" w:name="_Toc83931208"/>
      <w:bookmarkStart w:id="1174" w:name="_Toc83931294"/>
      <w:bookmarkStart w:id="1175" w:name="_Toc83931380"/>
      <w:bookmarkStart w:id="1176" w:name="_Toc83924020"/>
      <w:bookmarkStart w:id="1177" w:name="_Toc83929134"/>
      <w:bookmarkStart w:id="1178" w:name="_Toc83931209"/>
      <w:bookmarkStart w:id="1179" w:name="_Toc83931295"/>
      <w:bookmarkStart w:id="1180" w:name="_Toc83931381"/>
      <w:bookmarkStart w:id="1181" w:name="_Toc83924021"/>
      <w:bookmarkStart w:id="1182" w:name="_Toc83929135"/>
      <w:bookmarkStart w:id="1183" w:name="_Toc83931210"/>
      <w:bookmarkStart w:id="1184" w:name="_Toc83931296"/>
      <w:bookmarkStart w:id="1185" w:name="_Toc83931382"/>
      <w:bookmarkStart w:id="1186" w:name="_Toc83924022"/>
      <w:bookmarkStart w:id="1187" w:name="_Toc83929136"/>
      <w:bookmarkStart w:id="1188" w:name="_Toc83931211"/>
      <w:bookmarkStart w:id="1189" w:name="_Toc83931297"/>
      <w:bookmarkStart w:id="1190" w:name="_Toc83931383"/>
      <w:bookmarkStart w:id="1191" w:name="_Toc83924023"/>
      <w:bookmarkStart w:id="1192" w:name="_Toc83929137"/>
      <w:bookmarkStart w:id="1193" w:name="_Toc83931212"/>
      <w:bookmarkStart w:id="1194" w:name="_Toc83931298"/>
      <w:bookmarkStart w:id="1195" w:name="_Toc83931384"/>
      <w:bookmarkStart w:id="1196" w:name="_Toc83924024"/>
      <w:bookmarkStart w:id="1197" w:name="_Toc83929138"/>
      <w:bookmarkStart w:id="1198" w:name="_Toc83931213"/>
      <w:bookmarkStart w:id="1199" w:name="_Toc83931299"/>
      <w:bookmarkStart w:id="1200" w:name="_Toc83931385"/>
      <w:bookmarkStart w:id="1201" w:name="_Toc83924025"/>
      <w:bookmarkStart w:id="1202" w:name="_Toc83929139"/>
      <w:bookmarkStart w:id="1203" w:name="_Toc83931214"/>
      <w:bookmarkStart w:id="1204" w:name="_Toc83931300"/>
      <w:bookmarkStart w:id="1205" w:name="_Toc83931386"/>
      <w:bookmarkStart w:id="1206" w:name="_Toc83924026"/>
      <w:bookmarkStart w:id="1207" w:name="_Toc83929140"/>
      <w:bookmarkStart w:id="1208" w:name="_Toc83931215"/>
      <w:bookmarkStart w:id="1209" w:name="_Toc83931301"/>
      <w:bookmarkStart w:id="1210" w:name="_Toc83931387"/>
      <w:bookmarkStart w:id="1211" w:name="_Toc83924027"/>
      <w:bookmarkStart w:id="1212" w:name="_Toc83929141"/>
      <w:bookmarkStart w:id="1213" w:name="_Toc83931216"/>
      <w:bookmarkStart w:id="1214" w:name="_Toc83931302"/>
      <w:bookmarkStart w:id="1215" w:name="_Toc83931388"/>
      <w:bookmarkStart w:id="1216" w:name="_Toc83924028"/>
      <w:bookmarkStart w:id="1217" w:name="_Toc83929142"/>
      <w:bookmarkStart w:id="1218" w:name="_Toc83931217"/>
      <w:bookmarkStart w:id="1219" w:name="_Toc83931303"/>
      <w:bookmarkStart w:id="1220" w:name="_Toc83931389"/>
      <w:bookmarkStart w:id="1221" w:name="_Toc83924029"/>
      <w:bookmarkStart w:id="1222" w:name="_Toc83929143"/>
      <w:bookmarkStart w:id="1223" w:name="_Toc83931218"/>
      <w:bookmarkStart w:id="1224" w:name="_Toc83931304"/>
      <w:bookmarkStart w:id="1225" w:name="_Toc83931390"/>
      <w:bookmarkStart w:id="1226" w:name="_Toc83924030"/>
      <w:bookmarkStart w:id="1227" w:name="_Toc83929144"/>
      <w:bookmarkStart w:id="1228" w:name="_Toc83931219"/>
      <w:bookmarkStart w:id="1229" w:name="_Toc83931305"/>
      <w:bookmarkStart w:id="1230" w:name="_Toc83931391"/>
      <w:bookmarkStart w:id="1231" w:name="_Toc83924031"/>
      <w:bookmarkStart w:id="1232" w:name="_Toc83929145"/>
      <w:bookmarkStart w:id="1233" w:name="_Toc83931220"/>
      <w:bookmarkStart w:id="1234" w:name="_Toc83931306"/>
      <w:bookmarkStart w:id="1235" w:name="_Toc83931392"/>
      <w:bookmarkStart w:id="1236" w:name="_Toc83924032"/>
      <w:bookmarkStart w:id="1237" w:name="_Toc83929146"/>
      <w:bookmarkStart w:id="1238" w:name="_Toc83931221"/>
      <w:bookmarkStart w:id="1239" w:name="_Toc83931307"/>
      <w:bookmarkStart w:id="1240" w:name="_Toc83931393"/>
      <w:bookmarkStart w:id="1241" w:name="_Toc83924033"/>
      <w:bookmarkStart w:id="1242" w:name="_Toc83929147"/>
      <w:bookmarkStart w:id="1243" w:name="_Toc83931222"/>
      <w:bookmarkStart w:id="1244" w:name="_Toc83931308"/>
      <w:bookmarkStart w:id="1245" w:name="_Toc83931394"/>
      <w:bookmarkStart w:id="1246" w:name="_Toc83924034"/>
      <w:bookmarkStart w:id="1247" w:name="_Toc83929148"/>
      <w:bookmarkStart w:id="1248" w:name="_Toc83931223"/>
      <w:bookmarkStart w:id="1249" w:name="_Toc83931309"/>
      <w:bookmarkStart w:id="1250" w:name="_Toc83931395"/>
      <w:bookmarkStart w:id="1251" w:name="_Toc83924035"/>
      <w:bookmarkStart w:id="1252" w:name="_Toc83929149"/>
      <w:bookmarkStart w:id="1253" w:name="_Toc83931224"/>
      <w:bookmarkStart w:id="1254" w:name="_Toc83931310"/>
      <w:bookmarkStart w:id="1255" w:name="_Toc83931396"/>
      <w:bookmarkStart w:id="1256" w:name="_Toc83924036"/>
      <w:bookmarkStart w:id="1257" w:name="_Toc83929150"/>
      <w:bookmarkStart w:id="1258" w:name="_Toc83931225"/>
      <w:bookmarkStart w:id="1259" w:name="_Toc83931311"/>
      <w:bookmarkStart w:id="1260" w:name="_Toc83931397"/>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14:paraId="06058435" w14:textId="77777777" w:rsidR="00694501" w:rsidRPr="002C7F3A" w:rsidRDefault="00694501" w:rsidP="009F1E3B">
      <w:pPr>
        <w:pStyle w:val="proc1"/>
        <w:numPr>
          <w:ilvl w:val="1"/>
          <w:numId w:val="11"/>
        </w:numPr>
        <w:rPr>
          <w:sz w:val="28"/>
          <w:szCs w:val="28"/>
        </w:rPr>
      </w:pPr>
      <w:bookmarkStart w:id="1261" w:name="_Toc84884801"/>
      <w:bookmarkStart w:id="1262" w:name="_Toc85461587"/>
      <w:bookmarkStart w:id="1263" w:name="_Toc240536474"/>
      <w:r w:rsidRPr="002C7F3A">
        <w:rPr>
          <w:sz w:val="28"/>
          <w:szCs w:val="28"/>
        </w:rPr>
        <w:t>Delegations</w:t>
      </w:r>
      <w:bookmarkEnd w:id="1261"/>
      <w:bookmarkEnd w:id="1262"/>
      <w:bookmarkEnd w:id="1263"/>
    </w:p>
    <w:p w14:paraId="17F42FA8" w14:textId="77777777" w:rsidR="00543305" w:rsidRPr="00766CE4" w:rsidRDefault="00543305" w:rsidP="00A324D3">
      <w:pPr>
        <w:spacing w:after="240"/>
        <w:ind w:left="425"/>
        <w:jc w:val="both"/>
        <w:rPr>
          <w:sz w:val="24"/>
          <w:szCs w:val="24"/>
        </w:rPr>
      </w:pPr>
      <w:r w:rsidRPr="00766CE4">
        <w:rPr>
          <w:sz w:val="24"/>
          <w:szCs w:val="24"/>
        </w:rPr>
        <w:t>Delegations set out the limits within which Council staff are authorised to commit Council to the procurement of goods, services, and works, including associated expenditure.</w:t>
      </w:r>
    </w:p>
    <w:p w14:paraId="0DD4F59C" w14:textId="77777777" w:rsidR="00543305" w:rsidRPr="00766CE4" w:rsidRDefault="00543305" w:rsidP="00A324D3">
      <w:pPr>
        <w:spacing w:after="240"/>
        <w:ind w:left="425"/>
        <w:jc w:val="both"/>
        <w:rPr>
          <w:sz w:val="24"/>
          <w:szCs w:val="24"/>
        </w:rPr>
      </w:pPr>
      <w:r w:rsidRPr="00766CE4">
        <w:rPr>
          <w:sz w:val="24"/>
          <w:szCs w:val="24"/>
        </w:rPr>
        <w:t>The Instrument of Delegation enables specified Council officers to undertake procurement activities such as purchases, quotations, tender processes, and contract management without requiring prior approval from Council. This ensures procurement activities are carried out efficiently and in a timely manner, while maintaining appropriate levels of transparency, accountability, and integrity.</w:t>
      </w:r>
    </w:p>
    <w:p w14:paraId="36D1E6BB" w14:textId="3DDF1047" w:rsidR="00244A37" w:rsidRPr="00766CE4" w:rsidRDefault="00543305" w:rsidP="00A324D3">
      <w:pPr>
        <w:spacing w:after="240"/>
        <w:ind w:left="425"/>
        <w:jc w:val="both"/>
        <w:rPr>
          <w:sz w:val="24"/>
          <w:szCs w:val="24"/>
        </w:rPr>
      </w:pPr>
      <w:r w:rsidRPr="00766CE4">
        <w:rPr>
          <w:sz w:val="24"/>
          <w:szCs w:val="24"/>
        </w:rPr>
        <w:t>Council has delegated authority for procurement-related expenditure, acceptance of quotations and tenders, and contract management to the Chief Executive Officer (CEO). The CEO may further sub-delegate these responsibilities to other Council officers, subject to defined conditions, limits, and requirements set out in the Instrument of Delegation.</w:t>
      </w:r>
    </w:p>
    <w:p w14:paraId="0D0C47EA" w14:textId="77777777" w:rsidR="00694501" w:rsidRPr="002C7F3A" w:rsidRDefault="00694501" w:rsidP="009F1E3B">
      <w:pPr>
        <w:pStyle w:val="proc1"/>
        <w:numPr>
          <w:ilvl w:val="1"/>
          <w:numId w:val="11"/>
        </w:numPr>
        <w:rPr>
          <w:sz w:val="28"/>
          <w:szCs w:val="28"/>
        </w:rPr>
      </w:pPr>
      <w:bookmarkStart w:id="1264" w:name="_Toc227674628"/>
      <w:bookmarkStart w:id="1265" w:name="_Toc227674765"/>
      <w:bookmarkStart w:id="1266" w:name="_Toc227674900"/>
      <w:bookmarkStart w:id="1267" w:name="_Toc227675037"/>
      <w:bookmarkStart w:id="1268" w:name="_Toc227675174"/>
      <w:bookmarkStart w:id="1269" w:name="_Toc227675311"/>
      <w:bookmarkStart w:id="1270" w:name="_Toc227675448"/>
      <w:bookmarkStart w:id="1271" w:name="_Toc227675585"/>
      <w:bookmarkStart w:id="1272" w:name="_Toc227675723"/>
      <w:bookmarkStart w:id="1273" w:name="_Toc227675857"/>
      <w:bookmarkStart w:id="1274" w:name="_Toc227675982"/>
      <w:bookmarkStart w:id="1275" w:name="_Toc227674629"/>
      <w:bookmarkStart w:id="1276" w:name="_Toc227674766"/>
      <w:bookmarkStart w:id="1277" w:name="_Toc227674901"/>
      <w:bookmarkStart w:id="1278" w:name="_Toc227675038"/>
      <w:bookmarkStart w:id="1279" w:name="_Toc227675175"/>
      <w:bookmarkStart w:id="1280" w:name="_Toc227675312"/>
      <w:bookmarkStart w:id="1281" w:name="_Toc227675449"/>
      <w:bookmarkStart w:id="1282" w:name="_Toc227675586"/>
      <w:bookmarkStart w:id="1283" w:name="_Toc227675724"/>
      <w:bookmarkStart w:id="1284" w:name="_Toc227675858"/>
      <w:bookmarkStart w:id="1285" w:name="_Toc227675983"/>
      <w:bookmarkStart w:id="1286" w:name="_Toc84884802"/>
      <w:bookmarkStart w:id="1287" w:name="_Toc85461588"/>
      <w:bookmarkStart w:id="1288" w:name="_Toc240536475"/>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r w:rsidRPr="002C7F3A">
        <w:rPr>
          <w:sz w:val="28"/>
          <w:szCs w:val="28"/>
        </w:rPr>
        <w:t>Probity Requirements</w:t>
      </w:r>
      <w:bookmarkEnd w:id="1286"/>
      <w:bookmarkEnd w:id="1287"/>
      <w:bookmarkEnd w:id="1288"/>
    </w:p>
    <w:p w14:paraId="2B2F87EB" w14:textId="77777777" w:rsidR="00694501" w:rsidRPr="002C7F3A" w:rsidRDefault="00694501" w:rsidP="00A324D3">
      <w:pPr>
        <w:pStyle w:val="proc2"/>
        <w:numPr>
          <w:ilvl w:val="2"/>
          <w:numId w:val="11"/>
        </w:numPr>
        <w:ind w:left="1134" w:hanging="567"/>
        <w:rPr>
          <w:rFonts w:cs="Arial"/>
          <w:b w:val="0"/>
          <w:bCs w:val="0"/>
          <w:sz w:val="28"/>
          <w:szCs w:val="28"/>
        </w:rPr>
      </w:pPr>
      <w:bookmarkStart w:id="1289" w:name="_Toc277672515"/>
      <w:bookmarkStart w:id="1290" w:name="_Toc277676514"/>
      <w:bookmarkStart w:id="1291" w:name="_Toc326327548"/>
      <w:bookmarkStart w:id="1292" w:name="_Toc78274859"/>
      <w:bookmarkStart w:id="1293" w:name="_Toc78275005"/>
      <w:bookmarkStart w:id="1294" w:name="_Toc83921437"/>
      <w:r w:rsidRPr="002C7F3A">
        <w:rPr>
          <w:rFonts w:cs="Arial"/>
          <w:b w:val="0"/>
          <w:bCs w:val="0"/>
          <w:sz w:val="28"/>
          <w:szCs w:val="28"/>
        </w:rPr>
        <w:t>Requirement</w:t>
      </w:r>
      <w:bookmarkEnd w:id="1289"/>
      <w:bookmarkEnd w:id="1290"/>
      <w:bookmarkEnd w:id="1291"/>
      <w:bookmarkEnd w:id="1292"/>
      <w:bookmarkEnd w:id="1293"/>
      <w:bookmarkEnd w:id="1294"/>
    </w:p>
    <w:p w14:paraId="4FE1A988" w14:textId="203B6A30" w:rsidR="009A1261" w:rsidRPr="00766CE4" w:rsidRDefault="005B6EB9" w:rsidP="00690B2A">
      <w:pPr>
        <w:spacing w:after="240"/>
        <w:ind w:left="567"/>
        <w:jc w:val="both"/>
        <w:rPr>
          <w:sz w:val="24"/>
          <w:szCs w:val="24"/>
        </w:rPr>
      </w:pPr>
      <w:r w:rsidRPr="00766CE4">
        <w:rPr>
          <w:sz w:val="24"/>
          <w:szCs w:val="24"/>
        </w:rPr>
        <w:t>Council is committed to ensuring that all procurement activities are undertaken with integrity, transparency, and accountability, and in accordance with all relevant legislation, policies, and procedures.</w:t>
      </w:r>
    </w:p>
    <w:p w14:paraId="52D6FA47" w14:textId="77777777" w:rsidR="00694501" w:rsidRPr="002C7F3A" w:rsidRDefault="00694501" w:rsidP="00A324D3">
      <w:pPr>
        <w:pStyle w:val="proc2"/>
        <w:numPr>
          <w:ilvl w:val="2"/>
          <w:numId w:val="11"/>
        </w:numPr>
        <w:ind w:left="1134" w:hanging="567"/>
        <w:rPr>
          <w:rFonts w:cs="Arial"/>
          <w:b w:val="0"/>
          <w:bCs w:val="0"/>
          <w:sz w:val="28"/>
          <w:szCs w:val="28"/>
        </w:rPr>
      </w:pPr>
      <w:bookmarkStart w:id="1295" w:name="_Toc277672516"/>
      <w:bookmarkStart w:id="1296" w:name="_Toc277676515"/>
      <w:bookmarkStart w:id="1297" w:name="_Toc326327549"/>
      <w:bookmarkStart w:id="1298" w:name="_Toc78274860"/>
      <w:bookmarkStart w:id="1299" w:name="_Toc78275006"/>
      <w:bookmarkStart w:id="1300" w:name="_Toc83921438"/>
      <w:r w:rsidRPr="002C7F3A">
        <w:rPr>
          <w:rFonts w:cs="Arial"/>
          <w:b w:val="0"/>
          <w:bCs w:val="0"/>
          <w:sz w:val="28"/>
          <w:szCs w:val="28"/>
        </w:rPr>
        <w:t>Conduct of Councillors and Council Staff</w:t>
      </w:r>
      <w:bookmarkEnd w:id="1295"/>
      <w:bookmarkEnd w:id="1296"/>
      <w:bookmarkEnd w:id="1297"/>
      <w:bookmarkEnd w:id="1298"/>
      <w:bookmarkEnd w:id="1299"/>
      <w:bookmarkEnd w:id="1300"/>
    </w:p>
    <w:p w14:paraId="3950D9B2" w14:textId="77777777" w:rsidR="005B6EB9" w:rsidRPr="00766CE4" w:rsidRDefault="005B6EB9" w:rsidP="00A324D3">
      <w:pPr>
        <w:spacing w:after="240"/>
        <w:ind w:left="567"/>
        <w:jc w:val="both"/>
        <w:rPr>
          <w:sz w:val="24"/>
          <w:szCs w:val="24"/>
        </w:rPr>
      </w:pPr>
      <w:r w:rsidRPr="00766CE4">
        <w:rPr>
          <w:sz w:val="24"/>
          <w:szCs w:val="24"/>
        </w:rPr>
        <w:t>Councillors and Council staff must, at all times, act ethically and with the highest standards of integrity. In undertaking procurement activities, they shall:</w:t>
      </w:r>
    </w:p>
    <w:p w14:paraId="6E48B2F2" w14:textId="7ACBAC65" w:rsidR="005B6EB9" w:rsidRPr="00766CE4" w:rsidRDefault="00155601" w:rsidP="00A324D3">
      <w:pPr>
        <w:pStyle w:val="ListParagraph"/>
        <w:numPr>
          <w:ilvl w:val="0"/>
          <w:numId w:val="123"/>
        </w:numPr>
        <w:rPr>
          <w:rFonts w:cs="Arial"/>
          <w:sz w:val="24"/>
          <w:szCs w:val="24"/>
        </w:rPr>
      </w:pPr>
      <w:r w:rsidRPr="00766CE4">
        <w:rPr>
          <w:rFonts w:cs="Arial"/>
          <w:sz w:val="24"/>
          <w:szCs w:val="24"/>
        </w:rPr>
        <w:t>T</w:t>
      </w:r>
      <w:r w:rsidR="005B6EB9" w:rsidRPr="00766CE4">
        <w:rPr>
          <w:rFonts w:cs="Arial"/>
          <w:sz w:val="24"/>
          <w:szCs w:val="24"/>
        </w:rPr>
        <w:t>reat all current and prospective suppliers fairly, equitably, and without bias;</w:t>
      </w:r>
    </w:p>
    <w:p w14:paraId="7605E81E" w14:textId="079E3F16" w:rsidR="005B6EB9" w:rsidRPr="00766CE4" w:rsidRDefault="005B6EB9" w:rsidP="00A324D3">
      <w:pPr>
        <w:pStyle w:val="ListParagraph"/>
        <w:numPr>
          <w:ilvl w:val="0"/>
          <w:numId w:val="123"/>
        </w:numPr>
        <w:rPr>
          <w:rFonts w:cs="Arial"/>
          <w:sz w:val="24"/>
          <w:szCs w:val="24"/>
        </w:rPr>
      </w:pPr>
      <w:r w:rsidRPr="00766CE4">
        <w:rPr>
          <w:rFonts w:cs="Arial"/>
          <w:sz w:val="24"/>
          <w:szCs w:val="24"/>
        </w:rPr>
        <w:t>not seek, accept, or obtain personal or financial gain or advantage;</w:t>
      </w:r>
    </w:p>
    <w:p w14:paraId="5BA6D0FD" w14:textId="72A197FF" w:rsidR="005B6EB9" w:rsidRPr="00766CE4" w:rsidRDefault="00155601" w:rsidP="00A324D3">
      <w:pPr>
        <w:pStyle w:val="ListParagraph"/>
        <w:numPr>
          <w:ilvl w:val="0"/>
          <w:numId w:val="123"/>
        </w:numPr>
        <w:rPr>
          <w:rFonts w:cs="Arial"/>
          <w:sz w:val="24"/>
          <w:szCs w:val="24"/>
        </w:rPr>
      </w:pPr>
      <w:r w:rsidRPr="00766CE4">
        <w:rPr>
          <w:rFonts w:cs="Arial"/>
          <w:sz w:val="24"/>
          <w:szCs w:val="24"/>
        </w:rPr>
        <w:t>M</w:t>
      </w:r>
      <w:r w:rsidR="005B6EB9" w:rsidRPr="00766CE4">
        <w:rPr>
          <w:rFonts w:cs="Arial"/>
          <w:sz w:val="24"/>
          <w:szCs w:val="24"/>
        </w:rPr>
        <w:t>aintain the confidentiality of Commercial</w:t>
      </w:r>
      <w:r w:rsidR="005B6EB9" w:rsidRPr="00766CE4">
        <w:rPr>
          <w:rFonts w:ascii="Cambria Math" w:hAnsi="Cambria Math" w:cs="Cambria Math"/>
          <w:sz w:val="24"/>
          <w:szCs w:val="24"/>
        </w:rPr>
        <w:t>‑</w:t>
      </w:r>
      <w:r w:rsidR="005B6EB9" w:rsidRPr="00766CE4">
        <w:rPr>
          <w:rFonts w:cs="Arial"/>
          <w:sz w:val="24"/>
          <w:szCs w:val="24"/>
        </w:rPr>
        <w:t>in</w:t>
      </w:r>
      <w:r w:rsidR="005B6EB9" w:rsidRPr="00766CE4">
        <w:rPr>
          <w:rFonts w:ascii="Cambria Math" w:hAnsi="Cambria Math" w:cs="Cambria Math"/>
          <w:sz w:val="24"/>
          <w:szCs w:val="24"/>
        </w:rPr>
        <w:t>‑</w:t>
      </w:r>
      <w:r w:rsidR="005B6EB9" w:rsidRPr="00766CE4">
        <w:rPr>
          <w:rFonts w:cs="Arial"/>
          <w:sz w:val="24"/>
          <w:szCs w:val="24"/>
        </w:rPr>
        <w:t>Confidence information, including contract pricing and other sensitive information;</w:t>
      </w:r>
    </w:p>
    <w:p w14:paraId="29AC711F" w14:textId="3C5114D6" w:rsidR="005B6EB9" w:rsidRPr="00766CE4" w:rsidRDefault="00155601" w:rsidP="00A324D3">
      <w:pPr>
        <w:pStyle w:val="ListParagraph"/>
        <w:numPr>
          <w:ilvl w:val="0"/>
          <w:numId w:val="123"/>
        </w:numPr>
        <w:rPr>
          <w:rFonts w:cs="Arial"/>
          <w:sz w:val="24"/>
          <w:szCs w:val="24"/>
        </w:rPr>
      </w:pPr>
      <w:r w:rsidRPr="00766CE4">
        <w:rPr>
          <w:rFonts w:cs="Arial"/>
          <w:sz w:val="24"/>
          <w:szCs w:val="24"/>
        </w:rPr>
        <w:t>D</w:t>
      </w:r>
      <w:r w:rsidR="005B6EB9" w:rsidRPr="00766CE4">
        <w:rPr>
          <w:rFonts w:cs="Arial"/>
          <w:sz w:val="24"/>
          <w:szCs w:val="24"/>
        </w:rPr>
        <w:t>emonstrate the highest standards of professionalism and probity;</w:t>
      </w:r>
    </w:p>
    <w:p w14:paraId="577C8BBA" w14:textId="0D9931AF" w:rsidR="005B6EB9" w:rsidRPr="00766CE4" w:rsidRDefault="00155601" w:rsidP="00A324D3">
      <w:pPr>
        <w:pStyle w:val="ListParagraph"/>
        <w:numPr>
          <w:ilvl w:val="0"/>
          <w:numId w:val="123"/>
        </w:numPr>
        <w:rPr>
          <w:rFonts w:cs="Arial"/>
          <w:sz w:val="24"/>
          <w:szCs w:val="24"/>
        </w:rPr>
      </w:pPr>
      <w:r w:rsidRPr="00766CE4">
        <w:rPr>
          <w:rFonts w:cs="Arial"/>
          <w:sz w:val="24"/>
          <w:szCs w:val="24"/>
        </w:rPr>
        <w:t>E</w:t>
      </w:r>
      <w:r w:rsidR="005B6EB9" w:rsidRPr="00766CE4">
        <w:rPr>
          <w:rFonts w:cs="Arial"/>
          <w:sz w:val="24"/>
          <w:szCs w:val="24"/>
        </w:rPr>
        <w:t>nsure that all suppliers and tenderers are provided with the same information and equal opportunity to participate;</w:t>
      </w:r>
    </w:p>
    <w:p w14:paraId="600933C3" w14:textId="4913B52E" w:rsidR="005B6EB9" w:rsidRPr="00766CE4" w:rsidRDefault="00155601" w:rsidP="00A324D3">
      <w:pPr>
        <w:pStyle w:val="ListParagraph"/>
        <w:numPr>
          <w:ilvl w:val="0"/>
          <w:numId w:val="123"/>
        </w:numPr>
        <w:rPr>
          <w:rFonts w:cs="Arial"/>
          <w:sz w:val="24"/>
          <w:szCs w:val="24"/>
        </w:rPr>
      </w:pPr>
      <w:r w:rsidRPr="00766CE4">
        <w:rPr>
          <w:rFonts w:cs="Arial"/>
          <w:sz w:val="24"/>
          <w:szCs w:val="24"/>
        </w:rPr>
        <w:t>B</w:t>
      </w:r>
      <w:r w:rsidR="005B6EB9" w:rsidRPr="00766CE4">
        <w:rPr>
          <w:rFonts w:cs="Arial"/>
          <w:sz w:val="24"/>
          <w:szCs w:val="24"/>
        </w:rPr>
        <w:t>e able to clearly justify and account for all procurement</w:t>
      </w:r>
      <w:r w:rsidR="005B6EB9" w:rsidRPr="00766CE4">
        <w:rPr>
          <w:rFonts w:ascii="Cambria Math" w:hAnsi="Cambria Math" w:cs="Cambria Math"/>
          <w:sz w:val="24"/>
          <w:szCs w:val="24"/>
        </w:rPr>
        <w:t>‑</w:t>
      </w:r>
      <w:r w:rsidR="005B6EB9" w:rsidRPr="00766CE4">
        <w:rPr>
          <w:rFonts w:cs="Arial"/>
          <w:sz w:val="24"/>
          <w:szCs w:val="24"/>
        </w:rPr>
        <w:t>related decisions and, where appropriate, provide feedback; and</w:t>
      </w:r>
    </w:p>
    <w:p w14:paraId="4A861A78" w14:textId="141A7ECE" w:rsidR="005B6EB9" w:rsidRPr="00766CE4" w:rsidRDefault="00155601" w:rsidP="00A324D3">
      <w:pPr>
        <w:pStyle w:val="ListParagraph"/>
        <w:numPr>
          <w:ilvl w:val="0"/>
          <w:numId w:val="123"/>
        </w:numPr>
        <w:rPr>
          <w:rFonts w:cs="Arial"/>
          <w:sz w:val="24"/>
          <w:szCs w:val="24"/>
        </w:rPr>
      </w:pPr>
      <w:r w:rsidRPr="00766CE4">
        <w:rPr>
          <w:rFonts w:cs="Arial"/>
          <w:sz w:val="24"/>
          <w:szCs w:val="24"/>
        </w:rPr>
        <w:t>N</w:t>
      </w:r>
      <w:r w:rsidR="005B6EB9" w:rsidRPr="00766CE4">
        <w:rPr>
          <w:rFonts w:cs="Arial"/>
          <w:sz w:val="24"/>
          <w:szCs w:val="24"/>
        </w:rPr>
        <w:t>ot undertake any work for suppliers in relation to Council contracts for which they have responsibility or oversight.</w:t>
      </w:r>
    </w:p>
    <w:p w14:paraId="54D6BAB1" w14:textId="77777777" w:rsidR="00694501" w:rsidRPr="002C7F3A" w:rsidRDefault="00694501" w:rsidP="00A324D3">
      <w:pPr>
        <w:pStyle w:val="proc2"/>
        <w:numPr>
          <w:ilvl w:val="2"/>
          <w:numId w:val="11"/>
        </w:numPr>
        <w:ind w:left="1134" w:hanging="567"/>
        <w:rPr>
          <w:rFonts w:cs="Arial"/>
          <w:b w:val="0"/>
          <w:bCs w:val="0"/>
          <w:sz w:val="28"/>
          <w:szCs w:val="28"/>
        </w:rPr>
      </w:pPr>
      <w:bookmarkStart w:id="1301" w:name="_Toc277672517"/>
      <w:bookmarkStart w:id="1302" w:name="_Toc277676516"/>
      <w:bookmarkStart w:id="1303" w:name="_Toc326327550"/>
      <w:bookmarkStart w:id="1304" w:name="_Toc78274861"/>
      <w:bookmarkStart w:id="1305" w:name="_Toc78275007"/>
      <w:r w:rsidRPr="002C7F3A">
        <w:rPr>
          <w:rFonts w:cs="Arial"/>
          <w:b w:val="0"/>
          <w:bCs w:val="0"/>
          <w:sz w:val="28"/>
          <w:szCs w:val="28"/>
        </w:rPr>
        <w:t>Tender Processes</w:t>
      </w:r>
      <w:bookmarkEnd w:id="1301"/>
      <w:bookmarkEnd w:id="1302"/>
      <w:bookmarkEnd w:id="1303"/>
      <w:bookmarkEnd w:id="1304"/>
      <w:bookmarkEnd w:id="1305"/>
    </w:p>
    <w:p w14:paraId="4CC4FCA1" w14:textId="3CA75200" w:rsidR="00694501" w:rsidRPr="00766CE4" w:rsidRDefault="00694501" w:rsidP="00A324D3">
      <w:pPr>
        <w:spacing w:after="240"/>
        <w:ind w:left="567"/>
        <w:jc w:val="both"/>
        <w:rPr>
          <w:sz w:val="24"/>
          <w:szCs w:val="24"/>
        </w:rPr>
      </w:pPr>
      <w:r w:rsidRPr="00766CE4">
        <w:rPr>
          <w:sz w:val="24"/>
          <w:szCs w:val="24"/>
        </w:rPr>
        <w:t>All tender processes shall be conducted in accordance with the requirements of this Policy and any associated procedures, relevant legislation, relevant Australian Standards and the</w:t>
      </w:r>
      <w:r w:rsidR="005B6EB9" w:rsidRPr="00766CE4">
        <w:rPr>
          <w:sz w:val="24"/>
          <w:szCs w:val="24"/>
        </w:rPr>
        <w:t xml:space="preserve"> Local </w:t>
      </w:r>
      <w:r w:rsidR="00155601" w:rsidRPr="00766CE4">
        <w:rPr>
          <w:sz w:val="24"/>
          <w:szCs w:val="24"/>
        </w:rPr>
        <w:t>Government Act</w:t>
      </w:r>
      <w:r w:rsidRPr="00766CE4">
        <w:rPr>
          <w:sz w:val="24"/>
          <w:szCs w:val="24"/>
        </w:rPr>
        <w:t xml:space="preserve">. </w:t>
      </w:r>
    </w:p>
    <w:p w14:paraId="3C1C8EA5" w14:textId="77777777" w:rsidR="00694501" w:rsidRPr="002C7F3A" w:rsidRDefault="00694501" w:rsidP="00A324D3">
      <w:pPr>
        <w:pStyle w:val="proc2"/>
        <w:numPr>
          <w:ilvl w:val="2"/>
          <w:numId w:val="11"/>
        </w:numPr>
        <w:ind w:left="1134" w:hanging="567"/>
        <w:rPr>
          <w:rFonts w:cs="Arial"/>
          <w:b w:val="0"/>
          <w:bCs w:val="0"/>
          <w:sz w:val="28"/>
          <w:szCs w:val="28"/>
        </w:rPr>
      </w:pPr>
      <w:bookmarkStart w:id="1306" w:name="_Toc277672518"/>
      <w:bookmarkStart w:id="1307" w:name="_Toc277676517"/>
      <w:bookmarkStart w:id="1308" w:name="_Toc326327551"/>
      <w:bookmarkStart w:id="1309" w:name="_Toc78274862"/>
      <w:bookmarkStart w:id="1310" w:name="_Toc78275008"/>
      <w:bookmarkStart w:id="1311" w:name="_Toc83921439"/>
      <w:r w:rsidRPr="002C7F3A">
        <w:rPr>
          <w:rFonts w:cs="Arial"/>
          <w:b w:val="0"/>
          <w:bCs w:val="0"/>
          <w:sz w:val="28"/>
          <w:szCs w:val="28"/>
        </w:rPr>
        <w:t>Conflict of Interest</w:t>
      </w:r>
      <w:bookmarkEnd w:id="1306"/>
      <w:bookmarkEnd w:id="1307"/>
      <w:bookmarkEnd w:id="1308"/>
      <w:bookmarkEnd w:id="1309"/>
      <w:bookmarkEnd w:id="1310"/>
      <w:bookmarkEnd w:id="1311"/>
    </w:p>
    <w:p w14:paraId="530F901F" w14:textId="56F24668" w:rsidR="00234116" w:rsidRPr="00766CE4" w:rsidRDefault="00234116" w:rsidP="00A324D3">
      <w:pPr>
        <w:spacing w:after="240"/>
        <w:ind w:left="567"/>
        <w:jc w:val="both"/>
        <w:rPr>
          <w:sz w:val="24"/>
          <w:szCs w:val="24"/>
        </w:rPr>
      </w:pPr>
      <w:r w:rsidRPr="00766CE4">
        <w:rPr>
          <w:sz w:val="24"/>
          <w:szCs w:val="24"/>
        </w:rPr>
        <w:t>Any individual involved in a procurement process including the development of specifications, evaluation of tenders, or recommendation of contract award must declare any actual, potential, or perceived conflict of interest prior to participating in that activity. All declarations must be made in accordance with Council’s Conflict of Interest Policy.</w:t>
      </w:r>
    </w:p>
    <w:p w14:paraId="1718E80E" w14:textId="77777777" w:rsidR="00234116" w:rsidRPr="00766CE4" w:rsidRDefault="00234116" w:rsidP="00A324D3">
      <w:pPr>
        <w:ind w:left="349" w:firstLine="218"/>
        <w:rPr>
          <w:b/>
          <w:bCs/>
          <w:sz w:val="24"/>
          <w:szCs w:val="24"/>
        </w:rPr>
      </w:pPr>
      <w:r w:rsidRPr="00766CE4">
        <w:rPr>
          <w:b/>
          <w:bCs/>
          <w:sz w:val="24"/>
          <w:szCs w:val="24"/>
        </w:rPr>
        <w:t>Tender Evaluation Panels</w:t>
      </w:r>
    </w:p>
    <w:p w14:paraId="318B1F0E" w14:textId="77777777" w:rsidR="00234116" w:rsidRPr="00766CE4" w:rsidRDefault="00234116" w:rsidP="00A324D3">
      <w:pPr>
        <w:spacing w:after="240"/>
        <w:ind w:left="567"/>
        <w:jc w:val="both"/>
        <w:rPr>
          <w:sz w:val="24"/>
          <w:szCs w:val="24"/>
        </w:rPr>
      </w:pPr>
      <w:r w:rsidRPr="00766CE4">
        <w:rPr>
          <w:sz w:val="24"/>
          <w:szCs w:val="24"/>
        </w:rPr>
        <w:t>Where a conflict of interest is identified for a member of a Tender Evaluation Panel, the following applies:</w:t>
      </w:r>
    </w:p>
    <w:p w14:paraId="413317E1" w14:textId="2783E6D7" w:rsidR="00234116" w:rsidRPr="00766CE4" w:rsidRDefault="00234116" w:rsidP="00A324D3">
      <w:pPr>
        <w:pStyle w:val="ListParagraph"/>
        <w:numPr>
          <w:ilvl w:val="0"/>
          <w:numId w:val="164"/>
        </w:numPr>
        <w:rPr>
          <w:rFonts w:cs="Arial"/>
          <w:b/>
          <w:bCs/>
          <w:sz w:val="24"/>
          <w:szCs w:val="24"/>
        </w:rPr>
      </w:pPr>
      <w:r w:rsidRPr="00766CE4">
        <w:rPr>
          <w:rFonts w:cs="Arial"/>
          <w:b/>
          <w:bCs/>
          <w:sz w:val="24"/>
          <w:szCs w:val="24"/>
        </w:rPr>
        <w:t>Specific or perceived specific conflict of interest</w:t>
      </w:r>
    </w:p>
    <w:p w14:paraId="6027EAA1" w14:textId="77777777" w:rsidR="00234116" w:rsidRPr="00766CE4" w:rsidRDefault="00234116" w:rsidP="00A324D3">
      <w:pPr>
        <w:spacing w:after="240"/>
        <w:ind w:left="567"/>
        <w:jc w:val="both"/>
        <w:rPr>
          <w:sz w:val="24"/>
          <w:szCs w:val="24"/>
        </w:rPr>
      </w:pPr>
      <w:r w:rsidRPr="00766CE4">
        <w:rPr>
          <w:sz w:val="24"/>
          <w:szCs w:val="24"/>
        </w:rPr>
        <w:t>Where a panel member has a specific, perceived, or potential conflict of interest with a tenderer (including, but not limited to, personal relationships, financial interests, or prior engagement with a specific tenderer), the panel member must be removed from the Tender Evaluation Panel. This requirement applies to both internal and external panel members without exception.</w:t>
      </w:r>
    </w:p>
    <w:p w14:paraId="7660FECC" w14:textId="2771D244" w:rsidR="00234116" w:rsidRPr="00766CE4" w:rsidRDefault="00234116" w:rsidP="00A324D3">
      <w:pPr>
        <w:pStyle w:val="ListParagraph"/>
        <w:numPr>
          <w:ilvl w:val="0"/>
          <w:numId w:val="164"/>
        </w:numPr>
        <w:rPr>
          <w:rFonts w:cs="Arial"/>
          <w:b/>
          <w:bCs/>
          <w:sz w:val="24"/>
          <w:szCs w:val="24"/>
        </w:rPr>
      </w:pPr>
      <w:r w:rsidRPr="00766CE4">
        <w:rPr>
          <w:rFonts w:cs="Arial"/>
          <w:b/>
          <w:bCs/>
          <w:sz w:val="24"/>
          <w:szCs w:val="24"/>
        </w:rPr>
        <w:t>General or non-specific conflict of interest</w:t>
      </w:r>
    </w:p>
    <w:p w14:paraId="6BF3B12B" w14:textId="6C7B5F14" w:rsidR="009A1261" w:rsidRPr="00766CE4" w:rsidRDefault="00234116" w:rsidP="003A0065">
      <w:pPr>
        <w:spacing w:after="240"/>
        <w:ind w:left="567"/>
        <w:jc w:val="both"/>
        <w:rPr>
          <w:sz w:val="24"/>
          <w:szCs w:val="24"/>
        </w:rPr>
      </w:pPr>
      <w:r w:rsidRPr="00766CE4">
        <w:rPr>
          <w:sz w:val="24"/>
          <w:szCs w:val="24"/>
        </w:rPr>
        <w:t xml:space="preserve">Where a panel member has a general association with the industry or professional field relevant to the </w:t>
      </w:r>
      <w:r w:rsidR="00981566" w:rsidRPr="00766CE4">
        <w:rPr>
          <w:sz w:val="24"/>
          <w:szCs w:val="24"/>
        </w:rPr>
        <w:t>procurement but</w:t>
      </w:r>
      <w:r w:rsidRPr="00766CE4">
        <w:rPr>
          <w:sz w:val="24"/>
          <w:szCs w:val="24"/>
        </w:rPr>
        <w:t xml:space="preserve"> has no specific relationship with or influence over any tenderer, they may, in limited circumstances, continue to participate in the panel. This is only permitted where their specialist technical expertise is required and must be approved by the Governance Team and Probity Advisor. A formal conflict management plan must also be implemented.</w:t>
      </w:r>
    </w:p>
    <w:p w14:paraId="0004554C" w14:textId="0BCEB0E5" w:rsidR="00234116" w:rsidRPr="00766CE4" w:rsidRDefault="00234116" w:rsidP="00A324D3">
      <w:pPr>
        <w:pStyle w:val="ListParagraph"/>
        <w:numPr>
          <w:ilvl w:val="0"/>
          <w:numId w:val="164"/>
        </w:numPr>
        <w:rPr>
          <w:rFonts w:cs="Arial"/>
          <w:b/>
          <w:bCs/>
          <w:sz w:val="24"/>
          <w:szCs w:val="24"/>
        </w:rPr>
      </w:pPr>
      <w:r w:rsidRPr="00766CE4">
        <w:rPr>
          <w:rFonts w:cs="Arial"/>
          <w:b/>
          <w:bCs/>
          <w:sz w:val="24"/>
          <w:szCs w:val="24"/>
        </w:rPr>
        <w:t>External panel members</w:t>
      </w:r>
    </w:p>
    <w:p w14:paraId="4148FFCE" w14:textId="77777777" w:rsidR="00234116" w:rsidRPr="00766CE4" w:rsidRDefault="00234116" w:rsidP="00A324D3">
      <w:pPr>
        <w:spacing w:after="240"/>
        <w:ind w:left="567"/>
        <w:jc w:val="both"/>
        <w:rPr>
          <w:sz w:val="24"/>
          <w:szCs w:val="24"/>
        </w:rPr>
      </w:pPr>
      <w:r w:rsidRPr="00766CE4">
        <w:rPr>
          <w:sz w:val="24"/>
          <w:szCs w:val="24"/>
        </w:rPr>
        <w:t>External members may only be appointed to a Tender Evaluation Panel where they bring specific technical expertise relevant to the procurement. Any external member who declares a specific or perceived specific conflict of interest must be removed and replaced prior to continuing the evaluation process.</w:t>
      </w:r>
    </w:p>
    <w:p w14:paraId="288A5F58" w14:textId="77777777" w:rsidR="00234116" w:rsidRPr="00766CE4" w:rsidRDefault="00234116" w:rsidP="00A324D3">
      <w:pPr>
        <w:ind w:left="349" w:firstLine="218"/>
        <w:rPr>
          <w:b/>
          <w:bCs/>
          <w:sz w:val="24"/>
          <w:szCs w:val="24"/>
        </w:rPr>
      </w:pPr>
      <w:r w:rsidRPr="00766CE4">
        <w:rPr>
          <w:b/>
          <w:bCs/>
          <w:sz w:val="24"/>
          <w:szCs w:val="24"/>
        </w:rPr>
        <w:t>General Requirement</w:t>
      </w:r>
    </w:p>
    <w:p w14:paraId="5CA97A54" w14:textId="5F787009" w:rsidR="00234116" w:rsidRPr="00766CE4" w:rsidRDefault="00234116" w:rsidP="00A324D3">
      <w:pPr>
        <w:spacing w:after="240"/>
        <w:ind w:left="567"/>
        <w:jc w:val="both"/>
        <w:rPr>
          <w:sz w:val="24"/>
          <w:szCs w:val="24"/>
        </w:rPr>
      </w:pPr>
      <w:r w:rsidRPr="00766CE4">
        <w:rPr>
          <w:sz w:val="24"/>
          <w:szCs w:val="24"/>
        </w:rPr>
        <w:t>No person with an undeclared conflict of interest may participate in any part of a procurement process or contract management activity under any circumstances.</w:t>
      </w:r>
    </w:p>
    <w:p w14:paraId="3CB77476" w14:textId="77777777" w:rsidR="00694501" w:rsidRPr="002C7F3A" w:rsidRDefault="00694501" w:rsidP="00A324D3">
      <w:pPr>
        <w:pStyle w:val="proc2"/>
        <w:numPr>
          <w:ilvl w:val="2"/>
          <w:numId w:val="11"/>
        </w:numPr>
        <w:ind w:left="1134" w:hanging="567"/>
        <w:rPr>
          <w:rFonts w:cs="Arial"/>
          <w:b w:val="0"/>
          <w:bCs w:val="0"/>
          <w:sz w:val="28"/>
          <w:szCs w:val="28"/>
        </w:rPr>
      </w:pPr>
      <w:bookmarkStart w:id="1312" w:name="_Toc277672519"/>
      <w:bookmarkStart w:id="1313" w:name="_Toc277676518"/>
      <w:bookmarkStart w:id="1314" w:name="_Toc326327552"/>
      <w:bookmarkStart w:id="1315" w:name="_Toc78274863"/>
      <w:bookmarkStart w:id="1316" w:name="_Toc78275009"/>
      <w:bookmarkStart w:id="1317" w:name="_Toc83921440"/>
      <w:r w:rsidRPr="002C7F3A">
        <w:rPr>
          <w:rFonts w:cs="Arial"/>
          <w:b w:val="0"/>
          <w:bCs w:val="0"/>
          <w:sz w:val="28"/>
          <w:szCs w:val="28"/>
        </w:rPr>
        <w:t>Fair and Honest Dealing</w:t>
      </w:r>
      <w:bookmarkEnd w:id="1312"/>
      <w:bookmarkEnd w:id="1313"/>
      <w:bookmarkEnd w:id="1314"/>
      <w:bookmarkEnd w:id="1315"/>
      <w:bookmarkEnd w:id="1316"/>
      <w:bookmarkEnd w:id="1317"/>
    </w:p>
    <w:p w14:paraId="2130FDF6" w14:textId="0B6FC0A8" w:rsidR="0037092C" w:rsidRPr="00766CE4" w:rsidRDefault="0037092C" w:rsidP="00A324D3">
      <w:pPr>
        <w:spacing w:after="240"/>
        <w:ind w:left="567"/>
        <w:jc w:val="both"/>
        <w:rPr>
          <w:sz w:val="24"/>
          <w:szCs w:val="24"/>
        </w:rPr>
      </w:pPr>
      <w:r w:rsidRPr="00766CE4">
        <w:rPr>
          <w:sz w:val="24"/>
          <w:szCs w:val="24"/>
        </w:rPr>
        <w:t>Council will ensure that all prospective contractors and suppliers are treated fairly and equitably and provided with equal opportunity to tender or quote. Impartiality shall be maintained throughout all procurement processes, and the commercial interests of suppliers appropriately protected.</w:t>
      </w:r>
    </w:p>
    <w:p w14:paraId="497C6305" w14:textId="77777777" w:rsidR="00694501" w:rsidRPr="002C7F3A" w:rsidRDefault="00694501" w:rsidP="00A324D3">
      <w:pPr>
        <w:pStyle w:val="proc2"/>
        <w:numPr>
          <w:ilvl w:val="2"/>
          <w:numId w:val="11"/>
        </w:numPr>
        <w:ind w:left="1134" w:hanging="567"/>
        <w:rPr>
          <w:rFonts w:cs="Arial"/>
          <w:b w:val="0"/>
          <w:bCs w:val="0"/>
          <w:sz w:val="28"/>
          <w:szCs w:val="28"/>
        </w:rPr>
      </w:pPr>
      <w:bookmarkStart w:id="1318" w:name="_Toc277672520"/>
      <w:bookmarkStart w:id="1319" w:name="_Toc277676519"/>
      <w:bookmarkStart w:id="1320" w:name="_Toc326327553"/>
      <w:bookmarkStart w:id="1321" w:name="_Toc78274864"/>
      <w:bookmarkStart w:id="1322" w:name="_Toc78275010"/>
      <w:bookmarkStart w:id="1323" w:name="_Toc83921441"/>
      <w:r w:rsidRPr="002C7F3A">
        <w:rPr>
          <w:rFonts w:cs="Arial"/>
          <w:b w:val="0"/>
          <w:bCs w:val="0"/>
          <w:sz w:val="28"/>
          <w:szCs w:val="28"/>
        </w:rPr>
        <w:t>Accountability and Transparency</w:t>
      </w:r>
      <w:bookmarkEnd w:id="1318"/>
      <w:bookmarkEnd w:id="1319"/>
      <w:bookmarkEnd w:id="1320"/>
      <w:bookmarkEnd w:id="1321"/>
      <w:bookmarkEnd w:id="1322"/>
      <w:bookmarkEnd w:id="1323"/>
      <w:r w:rsidRPr="002C7F3A">
        <w:rPr>
          <w:rFonts w:cs="Arial"/>
          <w:b w:val="0"/>
          <w:bCs w:val="0"/>
          <w:sz w:val="28"/>
          <w:szCs w:val="28"/>
        </w:rPr>
        <w:t xml:space="preserve"> </w:t>
      </w:r>
    </w:p>
    <w:p w14:paraId="58DDCB15" w14:textId="0FF84FD4" w:rsidR="00694501" w:rsidRPr="00766CE4" w:rsidRDefault="00694501" w:rsidP="00A324D3">
      <w:pPr>
        <w:spacing w:after="240"/>
        <w:ind w:left="567"/>
        <w:jc w:val="both"/>
        <w:rPr>
          <w:sz w:val="24"/>
          <w:szCs w:val="24"/>
        </w:rPr>
      </w:pPr>
      <w:r w:rsidRPr="00766CE4">
        <w:rPr>
          <w:sz w:val="24"/>
          <w:szCs w:val="24"/>
        </w:rPr>
        <w:t xml:space="preserve">Accountability in procurement means being able to explain and provide evidence on the process followed.  The test of accountability is that an independent third party must be able to see clearly that a process has been followed and that the process is fair and reasonable.  </w:t>
      </w:r>
    </w:p>
    <w:p w14:paraId="4FC4BDB8" w14:textId="441B396E" w:rsidR="00694501" w:rsidRPr="00766CE4" w:rsidRDefault="00694501" w:rsidP="00A324D3">
      <w:pPr>
        <w:spacing w:after="240"/>
        <w:ind w:left="567"/>
        <w:jc w:val="both"/>
        <w:rPr>
          <w:sz w:val="24"/>
          <w:szCs w:val="24"/>
        </w:rPr>
      </w:pPr>
      <w:r w:rsidRPr="00766CE4">
        <w:rPr>
          <w:sz w:val="24"/>
          <w:szCs w:val="24"/>
        </w:rPr>
        <w:t>Therefore, the processes by which all procurement activities are conducted will be in accordance with the Council’s procurement policies and procedures as set out in this policy and r</w:t>
      </w:r>
      <w:r w:rsidR="001C4152" w:rsidRPr="00766CE4">
        <w:rPr>
          <w:sz w:val="24"/>
          <w:szCs w:val="24"/>
        </w:rPr>
        <w:t>elevant r</w:t>
      </w:r>
      <w:r w:rsidRPr="00766CE4">
        <w:rPr>
          <w:sz w:val="24"/>
          <w:szCs w:val="24"/>
        </w:rPr>
        <w:t>elated Council policies and procedures.</w:t>
      </w:r>
    </w:p>
    <w:p w14:paraId="49AF148F" w14:textId="6376FA64" w:rsidR="00694501" w:rsidRPr="00766CE4" w:rsidRDefault="00694501" w:rsidP="00A324D3">
      <w:pPr>
        <w:spacing w:after="240"/>
        <w:ind w:left="567"/>
        <w:jc w:val="both"/>
        <w:rPr>
          <w:sz w:val="24"/>
          <w:szCs w:val="24"/>
        </w:rPr>
      </w:pPr>
      <w:r w:rsidRPr="00766CE4">
        <w:rPr>
          <w:sz w:val="24"/>
          <w:szCs w:val="24"/>
        </w:rPr>
        <w:t>Additionally, council staff must be accountable for all procurement decisions made over the lifecycle of all goods, services and works purchased by the Council and record and document all performance and other relevant matters to ensure a transparent audit trail for monitoring and reporting purposes.</w:t>
      </w:r>
    </w:p>
    <w:p w14:paraId="3B8DFEE2" w14:textId="77777777" w:rsidR="00F73603" w:rsidRPr="00766CE4" w:rsidRDefault="00F73603" w:rsidP="00A324D3">
      <w:pPr>
        <w:spacing w:after="240"/>
        <w:ind w:left="567"/>
        <w:jc w:val="both"/>
        <w:rPr>
          <w:sz w:val="24"/>
          <w:szCs w:val="24"/>
        </w:rPr>
      </w:pPr>
      <w:r w:rsidRPr="00766CE4">
        <w:rPr>
          <w:sz w:val="24"/>
          <w:szCs w:val="24"/>
        </w:rPr>
        <w:t>The CEO will receive regular reporting on procurement compliance, exemptions, contract variations, and emerging risks to enable organisational oversight</w:t>
      </w:r>
    </w:p>
    <w:p w14:paraId="5CB48E2F" w14:textId="77777777" w:rsidR="00694501" w:rsidRPr="002C7F3A" w:rsidRDefault="00694501" w:rsidP="00A324D3">
      <w:pPr>
        <w:pStyle w:val="proc2"/>
        <w:numPr>
          <w:ilvl w:val="2"/>
          <w:numId w:val="11"/>
        </w:numPr>
        <w:ind w:left="1134" w:hanging="567"/>
        <w:rPr>
          <w:rFonts w:cs="Arial"/>
          <w:b w:val="0"/>
          <w:bCs w:val="0"/>
          <w:sz w:val="28"/>
          <w:szCs w:val="28"/>
        </w:rPr>
      </w:pPr>
      <w:bookmarkStart w:id="1324" w:name="_Toc277672521"/>
      <w:bookmarkStart w:id="1325" w:name="_Toc277676520"/>
      <w:bookmarkStart w:id="1326" w:name="_Toc326327554"/>
      <w:bookmarkStart w:id="1327" w:name="_Toc78274865"/>
      <w:bookmarkStart w:id="1328" w:name="_Toc78275011"/>
      <w:bookmarkStart w:id="1329" w:name="_Toc83921442"/>
      <w:r w:rsidRPr="002C7F3A">
        <w:rPr>
          <w:rFonts w:cs="Arial"/>
          <w:b w:val="0"/>
          <w:bCs w:val="0"/>
          <w:sz w:val="28"/>
          <w:szCs w:val="28"/>
        </w:rPr>
        <w:t>Gifts and Hospitality</w:t>
      </w:r>
      <w:bookmarkEnd w:id="1324"/>
      <w:bookmarkEnd w:id="1325"/>
      <w:bookmarkEnd w:id="1326"/>
      <w:bookmarkEnd w:id="1327"/>
      <w:bookmarkEnd w:id="1328"/>
      <w:bookmarkEnd w:id="1329"/>
    </w:p>
    <w:p w14:paraId="15BF91EB" w14:textId="6E4B4C89" w:rsidR="00694501" w:rsidRPr="00766CE4" w:rsidRDefault="00694501" w:rsidP="00A324D3">
      <w:pPr>
        <w:spacing w:after="240"/>
        <w:ind w:left="567"/>
        <w:jc w:val="both"/>
        <w:rPr>
          <w:sz w:val="24"/>
          <w:szCs w:val="24"/>
        </w:rPr>
      </w:pPr>
      <w:r w:rsidRPr="00766CE4">
        <w:rPr>
          <w:sz w:val="24"/>
          <w:szCs w:val="24"/>
        </w:rPr>
        <w:t>No Councillor or member of council staff shall, either directly or indirectly solicit or accept gifts or presents from any member of the public involved with any matter that is connected with the duties of the officer, or in which the Council is interested.</w:t>
      </w:r>
    </w:p>
    <w:p w14:paraId="2F2DF7A7" w14:textId="77777777" w:rsidR="006922E0" w:rsidRPr="00766CE4" w:rsidRDefault="00694501" w:rsidP="00A324D3">
      <w:pPr>
        <w:spacing w:after="240"/>
        <w:ind w:left="567"/>
        <w:jc w:val="both"/>
        <w:rPr>
          <w:sz w:val="24"/>
          <w:szCs w:val="24"/>
        </w:rPr>
      </w:pPr>
      <w:r w:rsidRPr="00766CE4">
        <w:rPr>
          <w:sz w:val="24"/>
          <w:szCs w:val="24"/>
        </w:rPr>
        <w:t xml:space="preserve">Councillors and council staff are to apply the </w:t>
      </w:r>
      <w:r w:rsidR="00794A4C" w:rsidRPr="00766CE4">
        <w:rPr>
          <w:sz w:val="24"/>
          <w:szCs w:val="24"/>
        </w:rPr>
        <w:t>Staff Gifts and Hospi</w:t>
      </w:r>
      <w:r w:rsidR="006922E0" w:rsidRPr="00766CE4">
        <w:rPr>
          <w:sz w:val="24"/>
          <w:szCs w:val="24"/>
        </w:rPr>
        <w:t xml:space="preserve">tality Policy and </w:t>
      </w:r>
      <w:r w:rsidRPr="00766CE4">
        <w:rPr>
          <w:sz w:val="24"/>
          <w:szCs w:val="24"/>
        </w:rPr>
        <w:t xml:space="preserve">Councillors and Staff Code of Conduct respectively in dealing with offers of hospitality from contractors or their representatives, or from organisations, firms or individuals with whom they have official dealings. </w:t>
      </w:r>
    </w:p>
    <w:p w14:paraId="714DACF9" w14:textId="5139BDAA" w:rsidR="00694501" w:rsidRPr="00766CE4" w:rsidRDefault="00694501" w:rsidP="00A324D3">
      <w:pPr>
        <w:spacing w:after="240"/>
        <w:ind w:left="567"/>
        <w:jc w:val="both"/>
        <w:rPr>
          <w:sz w:val="24"/>
          <w:szCs w:val="24"/>
        </w:rPr>
      </w:pPr>
      <w:r w:rsidRPr="00766CE4">
        <w:rPr>
          <w:sz w:val="24"/>
          <w:szCs w:val="24"/>
        </w:rPr>
        <w:t>Councillors and council staff should also avoid the ambiguous situation created by visiting the premises of a contractor, organisation, firm or individual uninvited and/or not on official business.</w:t>
      </w:r>
    </w:p>
    <w:p w14:paraId="4BF1CD09" w14:textId="34ABA974" w:rsidR="00694501" w:rsidRPr="00766CE4" w:rsidRDefault="00694501" w:rsidP="00A324D3">
      <w:pPr>
        <w:spacing w:after="240"/>
        <w:ind w:left="567"/>
        <w:jc w:val="both"/>
        <w:rPr>
          <w:sz w:val="24"/>
          <w:szCs w:val="24"/>
        </w:rPr>
      </w:pPr>
      <w:r w:rsidRPr="00766CE4">
        <w:rPr>
          <w:sz w:val="24"/>
          <w:szCs w:val="24"/>
        </w:rPr>
        <w:t>Offers of bribes, commissions or other irregular approaches from organisations or individuals (no matter how minute the evidence available), must be promptly brought to the attention of the CEO</w:t>
      </w:r>
    </w:p>
    <w:p w14:paraId="1653A06C" w14:textId="77777777" w:rsidR="00694501" w:rsidRPr="002C7F3A" w:rsidRDefault="00694501" w:rsidP="00A324D3">
      <w:pPr>
        <w:pStyle w:val="proc2"/>
        <w:numPr>
          <w:ilvl w:val="2"/>
          <w:numId w:val="11"/>
        </w:numPr>
        <w:ind w:left="1134" w:hanging="567"/>
        <w:rPr>
          <w:rFonts w:cs="Arial"/>
          <w:b w:val="0"/>
          <w:bCs w:val="0"/>
          <w:sz w:val="28"/>
          <w:szCs w:val="28"/>
        </w:rPr>
      </w:pPr>
      <w:bookmarkStart w:id="1330" w:name="_Toc277672522"/>
      <w:bookmarkStart w:id="1331" w:name="_Toc277676521"/>
      <w:bookmarkStart w:id="1332" w:name="_Toc326327555"/>
      <w:bookmarkStart w:id="1333" w:name="_Toc78274866"/>
      <w:bookmarkStart w:id="1334" w:name="_Toc78275012"/>
      <w:bookmarkStart w:id="1335" w:name="_Toc83921443"/>
      <w:r w:rsidRPr="002C7F3A">
        <w:rPr>
          <w:rFonts w:cs="Arial"/>
          <w:b w:val="0"/>
          <w:bCs w:val="0"/>
          <w:sz w:val="28"/>
          <w:szCs w:val="28"/>
        </w:rPr>
        <w:t>Disclosure of Information</w:t>
      </w:r>
      <w:bookmarkEnd w:id="1330"/>
      <w:bookmarkEnd w:id="1331"/>
      <w:bookmarkEnd w:id="1332"/>
      <w:bookmarkEnd w:id="1333"/>
      <w:bookmarkEnd w:id="1334"/>
      <w:bookmarkEnd w:id="1335"/>
    </w:p>
    <w:p w14:paraId="326E61AD" w14:textId="77777777" w:rsidR="001E3433" w:rsidRPr="00766CE4" w:rsidRDefault="001E3433" w:rsidP="001E3433">
      <w:pPr>
        <w:spacing w:after="240"/>
        <w:ind w:left="567"/>
        <w:jc w:val="both"/>
        <w:rPr>
          <w:sz w:val="24"/>
          <w:szCs w:val="24"/>
        </w:rPr>
      </w:pPr>
      <w:r w:rsidRPr="00766CE4">
        <w:rPr>
          <w:sz w:val="24"/>
          <w:szCs w:val="24"/>
        </w:rPr>
        <w:t>Council staff and Councillors must maintain strict confidentiality throughout all stages of the procurement process, both in protecting information received from the market and in ensuring sensitive Council information is not inappropriately disclosed to external parties.</w:t>
      </w:r>
    </w:p>
    <w:p w14:paraId="4FA5EF15" w14:textId="77777777" w:rsidR="001E3433" w:rsidRPr="00766CE4" w:rsidRDefault="001E3433" w:rsidP="001E3433">
      <w:pPr>
        <w:spacing w:after="240"/>
        <w:ind w:left="567"/>
        <w:jc w:val="both"/>
        <w:rPr>
          <w:b/>
          <w:bCs/>
          <w:sz w:val="24"/>
          <w:szCs w:val="24"/>
        </w:rPr>
      </w:pPr>
      <w:r w:rsidRPr="00766CE4">
        <w:rPr>
          <w:b/>
          <w:bCs/>
          <w:sz w:val="24"/>
          <w:szCs w:val="24"/>
        </w:rPr>
        <w:t>Information Received from the Market</w:t>
      </w:r>
    </w:p>
    <w:p w14:paraId="2BD1CC2D" w14:textId="77777777" w:rsidR="001E3433" w:rsidRPr="00766CE4" w:rsidRDefault="001E3433" w:rsidP="001E3433">
      <w:pPr>
        <w:spacing w:after="240"/>
        <w:ind w:left="567"/>
        <w:jc w:val="both"/>
        <w:rPr>
          <w:sz w:val="24"/>
          <w:szCs w:val="24"/>
        </w:rPr>
      </w:pPr>
      <w:r w:rsidRPr="00766CE4">
        <w:rPr>
          <w:sz w:val="24"/>
          <w:szCs w:val="24"/>
        </w:rPr>
        <w:t>Commercial-in-confidence information received by the Council must not be disclosed and is to be stored in a secure location within the ERP system.</w:t>
      </w:r>
    </w:p>
    <w:p w14:paraId="2A92A221" w14:textId="77777777" w:rsidR="001E3433" w:rsidRPr="00766CE4" w:rsidRDefault="001E3433" w:rsidP="001E3433">
      <w:pPr>
        <w:spacing w:after="240"/>
        <w:ind w:left="567"/>
        <w:jc w:val="both"/>
        <w:rPr>
          <w:sz w:val="24"/>
          <w:szCs w:val="24"/>
        </w:rPr>
      </w:pPr>
      <w:r w:rsidRPr="00766CE4">
        <w:rPr>
          <w:sz w:val="24"/>
          <w:szCs w:val="24"/>
        </w:rPr>
        <w:t>Councillors and Council staff are to protect, by refusing to release or discuss, the following:</w:t>
      </w:r>
    </w:p>
    <w:p w14:paraId="5662A647" w14:textId="77777777" w:rsidR="001E3433" w:rsidRPr="00766CE4" w:rsidRDefault="001E3433" w:rsidP="001E3433">
      <w:pPr>
        <w:pStyle w:val="ListParagraph"/>
        <w:numPr>
          <w:ilvl w:val="0"/>
          <w:numId w:val="189"/>
        </w:numPr>
        <w:spacing w:before="120" w:after="240"/>
        <w:jc w:val="both"/>
        <w:rPr>
          <w:rFonts w:cs="Arial"/>
          <w:sz w:val="24"/>
          <w:szCs w:val="24"/>
        </w:rPr>
      </w:pPr>
      <w:r w:rsidRPr="00766CE4">
        <w:rPr>
          <w:rFonts w:cs="Arial"/>
          <w:sz w:val="24"/>
          <w:szCs w:val="24"/>
        </w:rPr>
        <w:t>information disclosed by organisations in tenders, quotations, or during tender negotiations;</w:t>
      </w:r>
    </w:p>
    <w:p w14:paraId="2191C6EA" w14:textId="77777777" w:rsidR="001E3433" w:rsidRPr="00766CE4" w:rsidRDefault="001E3433" w:rsidP="001E3433">
      <w:pPr>
        <w:pStyle w:val="ListParagraph"/>
        <w:numPr>
          <w:ilvl w:val="0"/>
          <w:numId w:val="189"/>
        </w:numPr>
        <w:spacing w:before="120" w:after="240"/>
        <w:jc w:val="both"/>
        <w:rPr>
          <w:rFonts w:cs="Arial"/>
          <w:sz w:val="24"/>
          <w:szCs w:val="24"/>
        </w:rPr>
      </w:pPr>
      <w:r w:rsidRPr="00766CE4">
        <w:rPr>
          <w:rFonts w:cs="Arial"/>
          <w:sz w:val="24"/>
          <w:szCs w:val="24"/>
        </w:rPr>
        <w:t>all information that is Commercial-in-Confidence; and</w:t>
      </w:r>
    </w:p>
    <w:p w14:paraId="7088BFAB" w14:textId="77777777" w:rsidR="001E3433" w:rsidRPr="00766CE4" w:rsidRDefault="001E3433" w:rsidP="001E3433">
      <w:pPr>
        <w:pStyle w:val="ListParagraph"/>
        <w:numPr>
          <w:ilvl w:val="0"/>
          <w:numId w:val="189"/>
        </w:numPr>
        <w:spacing w:before="120" w:after="240"/>
        <w:jc w:val="both"/>
        <w:rPr>
          <w:rFonts w:cs="Arial"/>
          <w:sz w:val="24"/>
          <w:szCs w:val="24"/>
        </w:rPr>
      </w:pPr>
      <w:r w:rsidRPr="00766CE4">
        <w:rPr>
          <w:rFonts w:cs="Arial"/>
          <w:sz w:val="24"/>
          <w:szCs w:val="24"/>
        </w:rPr>
        <w:t>pre-contract information, including but not limited to information provided in quotes and tenders or subsequently provided in pre-contract negotiations.</w:t>
      </w:r>
    </w:p>
    <w:p w14:paraId="492DF9F5" w14:textId="77777777" w:rsidR="001E3433" w:rsidRPr="00766CE4" w:rsidRDefault="001E3433" w:rsidP="001E3433">
      <w:pPr>
        <w:spacing w:after="240"/>
        <w:ind w:left="567"/>
        <w:jc w:val="both"/>
        <w:rPr>
          <w:sz w:val="24"/>
          <w:szCs w:val="24"/>
        </w:rPr>
      </w:pPr>
      <w:r w:rsidRPr="00766CE4">
        <w:rPr>
          <w:sz w:val="24"/>
          <w:szCs w:val="24"/>
        </w:rPr>
        <w:t>Councillors and Council staff are to avoid references to current or proposed contracts in discussions with acquaintances or outside interests.</w:t>
      </w:r>
    </w:p>
    <w:p w14:paraId="6DF8E797" w14:textId="27D14836" w:rsidR="00237020" w:rsidRPr="00766CE4" w:rsidRDefault="001E3433" w:rsidP="002C7F3A">
      <w:pPr>
        <w:spacing w:after="240"/>
        <w:ind w:left="567"/>
        <w:jc w:val="both"/>
        <w:rPr>
          <w:sz w:val="24"/>
          <w:szCs w:val="24"/>
        </w:rPr>
      </w:pPr>
      <w:r w:rsidRPr="00766CE4">
        <w:rPr>
          <w:sz w:val="24"/>
          <w:szCs w:val="24"/>
        </w:rPr>
        <w:t>Discussion with potential suppliers during tender evaluations should not go beyond what is necessary to resolve doubt on what is being offered by that supplier. At no stage should any discussion be entered into that could have potential contractual implications prior to the contract approval process being finalised, other than authorised pre-contract negotiations.</w:t>
      </w:r>
    </w:p>
    <w:p w14:paraId="04FA7B74" w14:textId="77777777" w:rsidR="001E3433" w:rsidRPr="00766CE4" w:rsidRDefault="001E3433" w:rsidP="001E3433">
      <w:pPr>
        <w:spacing w:after="240"/>
        <w:ind w:left="567"/>
        <w:jc w:val="both"/>
        <w:rPr>
          <w:b/>
          <w:bCs/>
          <w:sz w:val="24"/>
          <w:szCs w:val="24"/>
        </w:rPr>
      </w:pPr>
      <w:r w:rsidRPr="00766CE4">
        <w:rPr>
          <w:b/>
          <w:bCs/>
          <w:sz w:val="24"/>
          <w:szCs w:val="24"/>
        </w:rPr>
        <w:t>Information Shared with the Market</w:t>
      </w:r>
    </w:p>
    <w:p w14:paraId="185ECEA9" w14:textId="77777777" w:rsidR="001E3433" w:rsidRPr="00766CE4" w:rsidRDefault="001E3433" w:rsidP="001E3433">
      <w:pPr>
        <w:spacing w:after="240"/>
        <w:ind w:left="567"/>
        <w:jc w:val="both"/>
        <w:rPr>
          <w:sz w:val="24"/>
          <w:szCs w:val="24"/>
        </w:rPr>
      </w:pPr>
      <w:r w:rsidRPr="00766CE4">
        <w:rPr>
          <w:sz w:val="24"/>
          <w:szCs w:val="24"/>
        </w:rPr>
        <w:t>Council staff must exercise caution when engaging with the market at any stage of the procurement process. Staff must not disclose, share, or communicate any sensitive, confidential, or non-public information to prospective suppliers, contractors, or any external parties, including but not limited to:</w:t>
      </w:r>
    </w:p>
    <w:p w14:paraId="082AE1BF" w14:textId="77777777" w:rsidR="001E3433" w:rsidRPr="00766CE4" w:rsidRDefault="001E3433" w:rsidP="001E3433">
      <w:pPr>
        <w:pStyle w:val="ListParagraph"/>
        <w:numPr>
          <w:ilvl w:val="0"/>
          <w:numId w:val="190"/>
        </w:numPr>
        <w:spacing w:before="120" w:after="240"/>
        <w:jc w:val="both"/>
        <w:rPr>
          <w:rFonts w:cs="Arial"/>
          <w:sz w:val="24"/>
          <w:szCs w:val="24"/>
        </w:rPr>
      </w:pPr>
      <w:r w:rsidRPr="00766CE4">
        <w:rPr>
          <w:rFonts w:cs="Arial"/>
          <w:sz w:val="24"/>
          <w:szCs w:val="24"/>
        </w:rPr>
        <w:t>internal budget estimates, cost thresholds, or reserve prices;</w:t>
      </w:r>
    </w:p>
    <w:p w14:paraId="70230046" w14:textId="77777777" w:rsidR="001E3433" w:rsidRPr="00766CE4" w:rsidRDefault="001E3433" w:rsidP="001E3433">
      <w:pPr>
        <w:pStyle w:val="ListParagraph"/>
        <w:numPr>
          <w:ilvl w:val="0"/>
          <w:numId w:val="190"/>
        </w:numPr>
        <w:spacing w:before="120" w:after="240"/>
        <w:jc w:val="both"/>
        <w:rPr>
          <w:rFonts w:cs="Arial"/>
          <w:sz w:val="24"/>
          <w:szCs w:val="24"/>
        </w:rPr>
      </w:pPr>
      <w:r w:rsidRPr="00766CE4">
        <w:rPr>
          <w:rFonts w:cs="Arial"/>
          <w:sz w:val="24"/>
          <w:szCs w:val="24"/>
        </w:rPr>
        <w:t>evaluation criteria weightings or scoring methodologies;</w:t>
      </w:r>
    </w:p>
    <w:p w14:paraId="09CE7DDC" w14:textId="77777777" w:rsidR="001E3433" w:rsidRPr="00766CE4" w:rsidRDefault="001E3433" w:rsidP="001E3433">
      <w:pPr>
        <w:pStyle w:val="ListParagraph"/>
        <w:numPr>
          <w:ilvl w:val="0"/>
          <w:numId w:val="190"/>
        </w:numPr>
        <w:spacing w:before="120" w:after="240"/>
        <w:jc w:val="both"/>
        <w:rPr>
          <w:rFonts w:cs="Arial"/>
          <w:sz w:val="24"/>
          <w:szCs w:val="24"/>
        </w:rPr>
      </w:pPr>
      <w:r w:rsidRPr="00766CE4">
        <w:rPr>
          <w:rFonts w:cs="Arial"/>
          <w:sz w:val="24"/>
          <w:szCs w:val="24"/>
        </w:rPr>
        <w:t>information about competing suppliers or submissions;</w:t>
      </w:r>
    </w:p>
    <w:p w14:paraId="51BF2149" w14:textId="77777777" w:rsidR="001E3433" w:rsidRPr="00766CE4" w:rsidRDefault="001E3433" w:rsidP="001E3433">
      <w:pPr>
        <w:pStyle w:val="ListParagraph"/>
        <w:numPr>
          <w:ilvl w:val="0"/>
          <w:numId w:val="190"/>
        </w:numPr>
        <w:spacing w:before="120" w:after="240"/>
        <w:jc w:val="both"/>
        <w:rPr>
          <w:rFonts w:cs="Arial"/>
          <w:sz w:val="24"/>
          <w:szCs w:val="24"/>
        </w:rPr>
      </w:pPr>
      <w:r w:rsidRPr="00766CE4">
        <w:rPr>
          <w:rFonts w:cs="Arial"/>
          <w:sz w:val="24"/>
          <w:szCs w:val="24"/>
        </w:rPr>
        <w:t>internal Council strategies, priorities, or decision-making considerations; and</w:t>
      </w:r>
    </w:p>
    <w:p w14:paraId="2C6CC87C" w14:textId="77777777" w:rsidR="001E3433" w:rsidRPr="00766CE4" w:rsidRDefault="001E3433" w:rsidP="001E3433">
      <w:pPr>
        <w:pStyle w:val="ListParagraph"/>
        <w:numPr>
          <w:ilvl w:val="0"/>
          <w:numId w:val="190"/>
        </w:numPr>
        <w:spacing w:before="120" w:after="240"/>
        <w:jc w:val="both"/>
        <w:rPr>
          <w:rFonts w:cs="Arial"/>
          <w:sz w:val="24"/>
          <w:szCs w:val="24"/>
        </w:rPr>
      </w:pPr>
      <w:r w:rsidRPr="00766CE4">
        <w:rPr>
          <w:rFonts w:cs="Arial"/>
          <w:sz w:val="24"/>
          <w:szCs w:val="24"/>
        </w:rPr>
        <w:t>any information that may provide an unfair advantage to any supplier or compromise the integrity of the procurement process.</w:t>
      </w:r>
    </w:p>
    <w:p w14:paraId="64540427" w14:textId="77777777" w:rsidR="001E3433" w:rsidRPr="00766CE4" w:rsidRDefault="001E3433" w:rsidP="001E3433">
      <w:pPr>
        <w:spacing w:after="240"/>
        <w:ind w:left="567"/>
        <w:jc w:val="both"/>
        <w:rPr>
          <w:sz w:val="24"/>
          <w:szCs w:val="24"/>
        </w:rPr>
      </w:pPr>
      <w:r w:rsidRPr="00766CE4">
        <w:rPr>
          <w:sz w:val="24"/>
          <w:szCs w:val="24"/>
        </w:rPr>
        <w:t>All market engagement activities, including pre-market consultation, requests for information, and supplier briefings, must be conducted in a manner that ensures transparency, fairness, and equal treatment of all potential suppliers.</w:t>
      </w:r>
    </w:p>
    <w:p w14:paraId="0DB3CE14" w14:textId="77777777" w:rsidR="00694501" w:rsidRPr="002C7F3A" w:rsidRDefault="00694501" w:rsidP="00A324D3">
      <w:pPr>
        <w:pStyle w:val="proc2"/>
        <w:numPr>
          <w:ilvl w:val="2"/>
          <w:numId w:val="11"/>
        </w:numPr>
        <w:ind w:left="1134" w:hanging="567"/>
        <w:rPr>
          <w:rFonts w:cs="Arial"/>
          <w:b w:val="0"/>
          <w:bCs w:val="0"/>
          <w:sz w:val="28"/>
          <w:szCs w:val="28"/>
        </w:rPr>
      </w:pPr>
      <w:r w:rsidRPr="002C7F3A">
        <w:rPr>
          <w:rFonts w:cs="Arial"/>
          <w:b w:val="0"/>
          <w:bCs w:val="0"/>
          <w:sz w:val="28"/>
          <w:szCs w:val="28"/>
        </w:rPr>
        <w:t>Probity Plan Audits</w:t>
      </w:r>
    </w:p>
    <w:p w14:paraId="45F589A4" w14:textId="77777777" w:rsidR="00694501" w:rsidRPr="00766CE4" w:rsidRDefault="00694501" w:rsidP="00A324D3">
      <w:pPr>
        <w:spacing w:after="240"/>
        <w:ind w:left="567"/>
        <w:jc w:val="both"/>
        <w:rPr>
          <w:sz w:val="24"/>
          <w:szCs w:val="24"/>
        </w:rPr>
      </w:pPr>
      <w:r w:rsidRPr="00766CE4">
        <w:rPr>
          <w:sz w:val="24"/>
          <w:szCs w:val="24"/>
        </w:rPr>
        <w:t>A formal probity plan should be developed, and a probity advisor appointed in the following circumstances:</w:t>
      </w:r>
    </w:p>
    <w:p w14:paraId="739A8137" w14:textId="48FA4470" w:rsidR="009F0D1F" w:rsidRPr="00766CE4" w:rsidRDefault="00694501" w:rsidP="00A324D3">
      <w:pPr>
        <w:pStyle w:val="ListParagraph"/>
        <w:numPr>
          <w:ilvl w:val="0"/>
          <w:numId w:val="126"/>
        </w:numPr>
        <w:rPr>
          <w:rFonts w:cs="Arial"/>
          <w:sz w:val="24"/>
          <w:szCs w:val="24"/>
        </w:rPr>
      </w:pPr>
      <w:r w:rsidRPr="00766CE4">
        <w:rPr>
          <w:rFonts w:eastAsia="Times New Roman" w:cs="Arial"/>
          <w:sz w:val="24"/>
          <w:szCs w:val="24"/>
          <w:lang w:eastAsia="en-AU"/>
        </w:rPr>
        <w:t>Where the proposed Total Contract Value exceeds $10 million over the life of the contract or for a lesser value set by Council from time to time; or</w:t>
      </w:r>
    </w:p>
    <w:p w14:paraId="70A026BD" w14:textId="44206510" w:rsidR="00694501" w:rsidRPr="00766CE4" w:rsidRDefault="00694501" w:rsidP="00A324D3">
      <w:pPr>
        <w:pStyle w:val="ListParagraph"/>
        <w:numPr>
          <w:ilvl w:val="0"/>
          <w:numId w:val="126"/>
        </w:numPr>
        <w:rPr>
          <w:rFonts w:cs="Arial"/>
          <w:sz w:val="24"/>
          <w:szCs w:val="24"/>
        </w:rPr>
      </w:pPr>
      <w:r w:rsidRPr="00766CE4">
        <w:rPr>
          <w:rFonts w:eastAsia="Times New Roman" w:cs="Arial"/>
          <w:sz w:val="24"/>
          <w:szCs w:val="24"/>
          <w:lang w:eastAsia="en-AU"/>
        </w:rPr>
        <w:t xml:space="preserve">Where a proposed contract is considered by Council or the CEO to be particularly complex, of a high risk or controversial nature, and requiring a high level of public confidence. </w:t>
      </w:r>
    </w:p>
    <w:p w14:paraId="4AFB19D2" w14:textId="77777777" w:rsidR="00694501" w:rsidRPr="00766CE4" w:rsidRDefault="00694501" w:rsidP="00A324D3">
      <w:pPr>
        <w:spacing w:after="240"/>
        <w:ind w:left="567"/>
        <w:jc w:val="both"/>
        <w:rPr>
          <w:sz w:val="24"/>
          <w:szCs w:val="24"/>
        </w:rPr>
      </w:pPr>
      <w:r w:rsidRPr="00766CE4">
        <w:rPr>
          <w:sz w:val="24"/>
          <w:szCs w:val="24"/>
        </w:rPr>
        <w:t>A probity advisor may be appointed to any tender evaluation panel and may be appointed to oversee the evaluation process.</w:t>
      </w:r>
    </w:p>
    <w:p w14:paraId="1E1A5C31" w14:textId="77777777" w:rsidR="00694501" w:rsidRPr="002C7F3A" w:rsidRDefault="00694501" w:rsidP="009F1E3B">
      <w:pPr>
        <w:pStyle w:val="proc1"/>
        <w:numPr>
          <w:ilvl w:val="1"/>
          <w:numId w:val="11"/>
        </w:numPr>
        <w:rPr>
          <w:sz w:val="28"/>
          <w:szCs w:val="28"/>
        </w:rPr>
      </w:pPr>
      <w:bookmarkStart w:id="1336" w:name="_Toc84884803"/>
      <w:bookmarkStart w:id="1337" w:name="_Toc85461589"/>
      <w:bookmarkStart w:id="1338" w:name="_Toc240536476"/>
      <w:r w:rsidRPr="002C7F3A">
        <w:rPr>
          <w:sz w:val="28"/>
          <w:szCs w:val="28"/>
        </w:rPr>
        <w:t>Risk Management</w:t>
      </w:r>
      <w:bookmarkEnd w:id="1336"/>
      <w:bookmarkEnd w:id="1337"/>
      <w:bookmarkEnd w:id="1338"/>
    </w:p>
    <w:p w14:paraId="744F818A" w14:textId="29F99562" w:rsidR="00694501" w:rsidRPr="002C7F3A" w:rsidRDefault="00A02596" w:rsidP="00A324D3">
      <w:pPr>
        <w:pStyle w:val="proc2"/>
        <w:numPr>
          <w:ilvl w:val="2"/>
          <w:numId w:val="11"/>
        </w:numPr>
        <w:ind w:left="1134" w:hanging="567"/>
        <w:rPr>
          <w:rFonts w:cs="Arial"/>
          <w:b w:val="0"/>
          <w:bCs w:val="0"/>
          <w:sz w:val="28"/>
          <w:szCs w:val="28"/>
        </w:rPr>
      </w:pPr>
      <w:r w:rsidRPr="002C7F3A">
        <w:rPr>
          <w:rFonts w:cs="Arial"/>
          <w:b w:val="0"/>
          <w:bCs w:val="0"/>
          <w:sz w:val="28"/>
          <w:szCs w:val="28"/>
        </w:rPr>
        <w:t xml:space="preserve">Management of Procurement Risk </w:t>
      </w:r>
    </w:p>
    <w:p w14:paraId="45A88DA6" w14:textId="77777777" w:rsidR="00FE4D56" w:rsidRPr="00766CE4" w:rsidRDefault="00FE4D56" w:rsidP="00A324D3">
      <w:pPr>
        <w:spacing w:after="240"/>
        <w:ind w:left="567"/>
        <w:jc w:val="both"/>
        <w:rPr>
          <w:sz w:val="24"/>
          <w:szCs w:val="24"/>
        </w:rPr>
      </w:pPr>
      <w:r w:rsidRPr="00766CE4">
        <w:rPr>
          <w:sz w:val="24"/>
          <w:szCs w:val="24"/>
        </w:rPr>
        <w:t>Council will apply sound risk management principles at every stage of its procurement activities. All procurement will be carefully planned and carried out in a way that protects and strengthens Council’s ability to prevent, manage, and recover from risks. These risks may include personal injury, damage to property, financial loss, reputational harm, or disruptions to the supply of goods, services, or works.</w:t>
      </w:r>
    </w:p>
    <w:p w14:paraId="6E4F02A7" w14:textId="77777777" w:rsidR="00FE4D56" w:rsidRPr="00766CE4" w:rsidRDefault="00FE4D56" w:rsidP="00A324D3">
      <w:pPr>
        <w:spacing w:after="240"/>
        <w:ind w:left="567"/>
        <w:jc w:val="both"/>
        <w:rPr>
          <w:sz w:val="24"/>
          <w:szCs w:val="24"/>
        </w:rPr>
      </w:pPr>
      <w:r w:rsidRPr="00766CE4">
        <w:rPr>
          <w:sz w:val="24"/>
          <w:szCs w:val="24"/>
        </w:rPr>
        <w:t>Engaging suppliers and contractors can expose Council to a range of risks. To minimise these risks to an appropriate level, Council will take reasonable and proportionate steps, which may include:</w:t>
      </w:r>
    </w:p>
    <w:p w14:paraId="07DE655F" w14:textId="29D1F1A1" w:rsidR="00FE4D56" w:rsidRPr="00766CE4" w:rsidRDefault="00AA1912" w:rsidP="00A324D3">
      <w:pPr>
        <w:pStyle w:val="ListParagraph"/>
        <w:numPr>
          <w:ilvl w:val="0"/>
          <w:numId w:val="125"/>
        </w:numPr>
        <w:rPr>
          <w:rFonts w:cs="Arial"/>
          <w:sz w:val="24"/>
          <w:szCs w:val="24"/>
        </w:rPr>
      </w:pPr>
      <w:r w:rsidRPr="00766CE4">
        <w:rPr>
          <w:rFonts w:cs="Arial"/>
          <w:sz w:val="24"/>
          <w:szCs w:val="24"/>
        </w:rPr>
        <w:t>A</w:t>
      </w:r>
      <w:r w:rsidR="00FE4D56" w:rsidRPr="00766CE4">
        <w:rPr>
          <w:rFonts w:cs="Arial"/>
          <w:sz w:val="24"/>
          <w:szCs w:val="24"/>
        </w:rPr>
        <w:t>llowing sufficient time for proper planning and preparation before procurement activities commence;</w:t>
      </w:r>
    </w:p>
    <w:p w14:paraId="79E39D2A" w14:textId="762F66A8" w:rsidR="00FE4D56" w:rsidRPr="00766CE4" w:rsidRDefault="00AA1912" w:rsidP="00A324D3">
      <w:pPr>
        <w:pStyle w:val="ListParagraph"/>
        <w:numPr>
          <w:ilvl w:val="0"/>
          <w:numId w:val="125"/>
        </w:numPr>
        <w:rPr>
          <w:rFonts w:cs="Arial"/>
          <w:sz w:val="24"/>
          <w:szCs w:val="24"/>
        </w:rPr>
      </w:pPr>
      <w:r w:rsidRPr="00766CE4">
        <w:rPr>
          <w:rFonts w:cs="Arial"/>
          <w:sz w:val="24"/>
          <w:szCs w:val="24"/>
        </w:rPr>
        <w:t>U</w:t>
      </w:r>
      <w:r w:rsidR="00FE4D56" w:rsidRPr="00766CE4">
        <w:rPr>
          <w:rFonts w:cs="Arial"/>
          <w:sz w:val="24"/>
          <w:szCs w:val="24"/>
        </w:rPr>
        <w:t>sing Council</w:t>
      </w:r>
      <w:r w:rsidR="00FE4D56" w:rsidRPr="00766CE4">
        <w:rPr>
          <w:rFonts w:ascii="Cambria Math" w:hAnsi="Cambria Math" w:cs="Cambria Math"/>
          <w:sz w:val="24"/>
          <w:szCs w:val="24"/>
        </w:rPr>
        <w:t>‑</w:t>
      </w:r>
      <w:r w:rsidR="00FE4D56" w:rsidRPr="00766CE4">
        <w:rPr>
          <w:rFonts w:cs="Arial"/>
          <w:sz w:val="24"/>
          <w:szCs w:val="24"/>
        </w:rPr>
        <w:t>approved standard contracts or Australian Standard contracts that include up</w:t>
      </w:r>
      <w:r w:rsidR="00FE4D56" w:rsidRPr="00766CE4">
        <w:rPr>
          <w:rFonts w:ascii="Cambria Math" w:hAnsi="Cambria Math" w:cs="Cambria Math"/>
          <w:sz w:val="24"/>
          <w:szCs w:val="24"/>
        </w:rPr>
        <w:t>‑</w:t>
      </w:r>
      <w:r w:rsidR="00FE4D56" w:rsidRPr="00766CE4">
        <w:rPr>
          <w:rFonts w:cs="Arial"/>
          <w:sz w:val="24"/>
          <w:szCs w:val="24"/>
        </w:rPr>
        <w:t>to</w:t>
      </w:r>
      <w:r w:rsidR="00FE4D56" w:rsidRPr="00766CE4">
        <w:rPr>
          <w:rFonts w:ascii="Cambria Math" w:hAnsi="Cambria Math" w:cs="Cambria Math"/>
          <w:sz w:val="24"/>
          <w:szCs w:val="24"/>
        </w:rPr>
        <w:t>‑</w:t>
      </w:r>
      <w:r w:rsidR="00FE4D56" w:rsidRPr="00766CE4">
        <w:rPr>
          <w:rFonts w:cs="Arial"/>
          <w:sz w:val="24"/>
          <w:szCs w:val="24"/>
        </w:rPr>
        <w:t>date and relevant clauses to manage risk;</w:t>
      </w:r>
    </w:p>
    <w:p w14:paraId="2C11422E" w14:textId="13822B94" w:rsidR="00FE4D56" w:rsidRPr="00766CE4" w:rsidRDefault="00AA1912" w:rsidP="00A324D3">
      <w:pPr>
        <w:pStyle w:val="ListParagraph"/>
        <w:numPr>
          <w:ilvl w:val="0"/>
          <w:numId w:val="125"/>
        </w:numPr>
        <w:rPr>
          <w:rFonts w:cs="Arial"/>
          <w:sz w:val="24"/>
          <w:szCs w:val="24"/>
        </w:rPr>
      </w:pPr>
      <w:r w:rsidRPr="00766CE4">
        <w:rPr>
          <w:rFonts w:cs="Arial"/>
          <w:sz w:val="24"/>
          <w:szCs w:val="24"/>
        </w:rPr>
        <w:t>R</w:t>
      </w:r>
      <w:r w:rsidR="00FE4D56" w:rsidRPr="00766CE4">
        <w:rPr>
          <w:rFonts w:cs="Arial"/>
          <w:sz w:val="24"/>
          <w:szCs w:val="24"/>
        </w:rPr>
        <w:t>equiring security deposits or other financial protections where appropriate;</w:t>
      </w:r>
    </w:p>
    <w:p w14:paraId="2D24A42C" w14:textId="03CE79A7" w:rsidR="00FE4D56" w:rsidRPr="00766CE4" w:rsidRDefault="00AA1912" w:rsidP="00A324D3">
      <w:pPr>
        <w:pStyle w:val="ListParagraph"/>
        <w:numPr>
          <w:ilvl w:val="0"/>
          <w:numId w:val="125"/>
        </w:numPr>
        <w:rPr>
          <w:rFonts w:cs="Arial"/>
          <w:sz w:val="24"/>
          <w:szCs w:val="24"/>
        </w:rPr>
      </w:pPr>
      <w:r w:rsidRPr="00766CE4">
        <w:rPr>
          <w:rFonts w:cs="Arial"/>
          <w:sz w:val="24"/>
          <w:szCs w:val="24"/>
        </w:rPr>
        <w:t>S</w:t>
      </w:r>
      <w:r w:rsidR="00FE4D56" w:rsidRPr="00766CE4">
        <w:rPr>
          <w:rFonts w:cs="Arial"/>
          <w:sz w:val="24"/>
          <w:szCs w:val="24"/>
        </w:rPr>
        <w:t>eeking advice from suitably qualified technical or subject</w:t>
      </w:r>
      <w:r w:rsidR="00FE4D56" w:rsidRPr="00766CE4">
        <w:rPr>
          <w:rFonts w:ascii="Cambria Math" w:hAnsi="Cambria Math" w:cs="Cambria Math"/>
          <w:sz w:val="24"/>
          <w:szCs w:val="24"/>
        </w:rPr>
        <w:t>‑</w:t>
      </w:r>
      <w:r w:rsidR="00FE4D56" w:rsidRPr="00766CE4">
        <w:rPr>
          <w:rFonts w:cs="Arial"/>
          <w:sz w:val="24"/>
          <w:szCs w:val="24"/>
        </w:rPr>
        <w:t>matter experts when developing specifications;</w:t>
      </w:r>
    </w:p>
    <w:p w14:paraId="71BAEE12" w14:textId="231DA794" w:rsidR="00FE4D56" w:rsidRPr="00766CE4" w:rsidRDefault="00AA1912" w:rsidP="00A324D3">
      <w:pPr>
        <w:pStyle w:val="ListParagraph"/>
        <w:numPr>
          <w:ilvl w:val="0"/>
          <w:numId w:val="125"/>
        </w:numPr>
        <w:rPr>
          <w:rFonts w:cs="Arial"/>
          <w:sz w:val="24"/>
          <w:szCs w:val="24"/>
        </w:rPr>
      </w:pPr>
      <w:r w:rsidRPr="00766CE4">
        <w:rPr>
          <w:rFonts w:cs="Arial"/>
          <w:sz w:val="24"/>
          <w:szCs w:val="24"/>
        </w:rPr>
        <w:t>E</w:t>
      </w:r>
      <w:r w:rsidR="00FE4D56" w:rsidRPr="00766CE4">
        <w:rPr>
          <w:rFonts w:cs="Arial"/>
          <w:sz w:val="24"/>
          <w:szCs w:val="24"/>
        </w:rPr>
        <w:t>nsuring a formal contract is in place before any work starts; and</w:t>
      </w:r>
    </w:p>
    <w:p w14:paraId="268558F9" w14:textId="43B29D2D" w:rsidR="00FE4D56" w:rsidRPr="00766CE4" w:rsidRDefault="00AA1912">
      <w:pPr>
        <w:pStyle w:val="ListParagraph"/>
        <w:numPr>
          <w:ilvl w:val="0"/>
          <w:numId w:val="125"/>
        </w:numPr>
        <w:rPr>
          <w:rFonts w:cs="Arial"/>
          <w:sz w:val="24"/>
          <w:szCs w:val="24"/>
        </w:rPr>
      </w:pPr>
      <w:r w:rsidRPr="00766CE4">
        <w:rPr>
          <w:rFonts w:cs="Arial"/>
          <w:sz w:val="24"/>
          <w:szCs w:val="24"/>
        </w:rPr>
        <w:t>A</w:t>
      </w:r>
      <w:r w:rsidR="00FE4D56" w:rsidRPr="00766CE4">
        <w:rPr>
          <w:rFonts w:cs="Arial"/>
          <w:sz w:val="24"/>
          <w:szCs w:val="24"/>
        </w:rPr>
        <w:t>ctively managing contracts, including monitoring performance and enforcing contractual obligations.</w:t>
      </w:r>
    </w:p>
    <w:p w14:paraId="28650FB6" w14:textId="1D7A4289" w:rsidR="009E6FB0" w:rsidRPr="00766CE4" w:rsidRDefault="009E6FB0" w:rsidP="00A324D3">
      <w:pPr>
        <w:spacing w:after="240"/>
        <w:ind w:left="567"/>
        <w:jc w:val="both"/>
        <w:rPr>
          <w:sz w:val="24"/>
          <w:szCs w:val="24"/>
        </w:rPr>
      </w:pPr>
      <w:r w:rsidRPr="00766CE4">
        <w:rPr>
          <w:sz w:val="24"/>
          <w:szCs w:val="24"/>
        </w:rPr>
        <w:t>Notwithstanding delegated authority, the CEO may require escalation of procurement matters to the Executive or Council where the procurement is assessed as high</w:t>
      </w:r>
      <w:r w:rsidRPr="00766CE4">
        <w:rPr>
          <w:sz w:val="24"/>
          <w:szCs w:val="24"/>
        </w:rPr>
        <w:noBreakHyphen/>
        <w:t>risk, high</w:t>
      </w:r>
      <w:r w:rsidRPr="00766CE4">
        <w:rPr>
          <w:sz w:val="24"/>
          <w:szCs w:val="24"/>
        </w:rPr>
        <w:noBreakHyphen/>
        <w:t>profile, strategically sensitive, or likely to attract significant community or political scrutiny.</w:t>
      </w:r>
    </w:p>
    <w:p w14:paraId="4AB5F47C" w14:textId="77777777" w:rsidR="00694501" w:rsidRPr="002C7F3A" w:rsidRDefault="00694501" w:rsidP="00A324D3">
      <w:pPr>
        <w:pStyle w:val="proc2"/>
        <w:numPr>
          <w:ilvl w:val="2"/>
          <w:numId w:val="11"/>
        </w:numPr>
        <w:ind w:left="1134" w:hanging="567"/>
        <w:rPr>
          <w:rFonts w:cs="Arial"/>
          <w:b w:val="0"/>
          <w:bCs w:val="0"/>
          <w:sz w:val="28"/>
          <w:szCs w:val="28"/>
        </w:rPr>
      </w:pPr>
      <w:r w:rsidRPr="002C7F3A">
        <w:rPr>
          <w:rFonts w:cs="Arial"/>
          <w:b w:val="0"/>
          <w:bCs w:val="0"/>
          <w:sz w:val="28"/>
          <w:szCs w:val="28"/>
        </w:rPr>
        <w:t>Responsible Financial Management</w:t>
      </w:r>
    </w:p>
    <w:p w14:paraId="6D5B2B84" w14:textId="77777777" w:rsidR="004F12F4" w:rsidRPr="00766CE4" w:rsidRDefault="004F12F4" w:rsidP="00A324D3">
      <w:pPr>
        <w:spacing w:after="240"/>
        <w:ind w:left="567"/>
        <w:jc w:val="both"/>
        <w:rPr>
          <w:sz w:val="24"/>
          <w:szCs w:val="24"/>
        </w:rPr>
      </w:pPr>
      <w:r w:rsidRPr="00766CE4">
        <w:rPr>
          <w:sz w:val="24"/>
          <w:szCs w:val="24"/>
        </w:rPr>
        <w:t>Council will apply the principles of responsible financial management to all procurement activities.</w:t>
      </w:r>
    </w:p>
    <w:p w14:paraId="5DA1570B" w14:textId="77777777" w:rsidR="004F12F4" w:rsidRPr="00766CE4" w:rsidRDefault="004F12F4" w:rsidP="00A324D3">
      <w:pPr>
        <w:spacing w:after="240"/>
        <w:ind w:left="567"/>
        <w:jc w:val="both"/>
        <w:rPr>
          <w:sz w:val="24"/>
          <w:szCs w:val="24"/>
        </w:rPr>
      </w:pPr>
      <w:r w:rsidRPr="00766CE4">
        <w:rPr>
          <w:sz w:val="24"/>
          <w:szCs w:val="24"/>
        </w:rPr>
        <w:t>Before any procurement for goods, services, or works begins, Council will confirm that sufficient funds are available within an approved budget or from an approved funding source.</w:t>
      </w:r>
    </w:p>
    <w:p w14:paraId="11953703" w14:textId="77777777" w:rsidR="004F12F4" w:rsidRPr="00766CE4" w:rsidRDefault="004F12F4" w:rsidP="00A324D3">
      <w:pPr>
        <w:spacing w:after="240"/>
        <w:ind w:left="567"/>
        <w:jc w:val="both"/>
        <w:rPr>
          <w:sz w:val="24"/>
          <w:szCs w:val="24"/>
        </w:rPr>
      </w:pPr>
      <w:r w:rsidRPr="00766CE4">
        <w:rPr>
          <w:sz w:val="24"/>
          <w:szCs w:val="24"/>
        </w:rPr>
        <w:t>Council staff must only approve spending within the limits of their delegated financial authority and must not commit Council funds beyond those limits.</w:t>
      </w:r>
    </w:p>
    <w:p w14:paraId="688F23FF" w14:textId="246C24CA" w:rsidR="004F12F4" w:rsidRPr="00766CE4" w:rsidRDefault="004F12F4" w:rsidP="00A324D3">
      <w:pPr>
        <w:spacing w:after="240"/>
        <w:ind w:left="567"/>
        <w:jc w:val="both"/>
        <w:rPr>
          <w:sz w:val="24"/>
          <w:szCs w:val="24"/>
        </w:rPr>
      </w:pPr>
      <w:r w:rsidRPr="00766CE4">
        <w:rPr>
          <w:sz w:val="24"/>
          <w:szCs w:val="24"/>
        </w:rPr>
        <w:t>Council funds will be used efficiently and effectively to achieve value for money. Every reasonable effort will be made to manage and control procurement costs, while still upholding the procurement principles set out in this Policy.</w:t>
      </w:r>
    </w:p>
    <w:p w14:paraId="2E315093" w14:textId="77777777" w:rsidR="00694501" w:rsidRPr="00400493" w:rsidRDefault="00694501" w:rsidP="00A324D3">
      <w:pPr>
        <w:pStyle w:val="proc2"/>
        <w:numPr>
          <w:ilvl w:val="2"/>
          <w:numId w:val="11"/>
        </w:numPr>
        <w:ind w:left="1134" w:hanging="567"/>
        <w:rPr>
          <w:rFonts w:cs="Arial"/>
          <w:b w:val="0"/>
          <w:bCs w:val="0"/>
          <w:sz w:val="28"/>
          <w:szCs w:val="28"/>
        </w:rPr>
      </w:pPr>
      <w:r w:rsidRPr="00400493">
        <w:rPr>
          <w:rFonts w:cs="Arial"/>
          <w:b w:val="0"/>
          <w:bCs w:val="0"/>
          <w:sz w:val="28"/>
          <w:szCs w:val="28"/>
        </w:rPr>
        <w:t>Dispute Resolution</w:t>
      </w:r>
    </w:p>
    <w:p w14:paraId="34ECF357" w14:textId="69471B89" w:rsidR="00694501" w:rsidRPr="00766CE4" w:rsidRDefault="00694501" w:rsidP="00A324D3">
      <w:pPr>
        <w:spacing w:after="240"/>
        <w:ind w:left="567"/>
        <w:jc w:val="both"/>
        <w:rPr>
          <w:sz w:val="24"/>
          <w:szCs w:val="24"/>
        </w:rPr>
      </w:pPr>
      <w:r w:rsidRPr="00766CE4">
        <w:rPr>
          <w:sz w:val="24"/>
          <w:szCs w:val="24"/>
        </w:rPr>
        <w:t>All Council Contract Managers must be cognisant of Council’s dispute resolution process in order to minimise the chance of disputes escalating to possible legal action.  In the event that a dispute cannot be resolved amicably, the Council officer should contact the Strategic Procurement Branch for assistance.</w:t>
      </w:r>
    </w:p>
    <w:p w14:paraId="01402594" w14:textId="264E10E6" w:rsidR="00694501" w:rsidRPr="00EC4C9E" w:rsidRDefault="00EC4C9E" w:rsidP="00A324D3">
      <w:pPr>
        <w:pStyle w:val="proc2"/>
        <w:numPr>
          <w:ilvl w:val="2"/>
          <w:numId w:val="11"/>
        </w:numPr>
        <w:ind w:left="1134" w:hanging="567"/>
        <w:rPr>
          <w:rFonts w:cs="Arial"/>
          <w:b w:val="0"/>
          <w:bCs w:val="0"/>
          <w:sz w:val="28"/>
          <w:szCs w:val="28"/>
        </w:rPr>
      </w:pPr>
      <w:bookmarkStart w:id="1339" w:name="_Hlk78181647"/>
      <w:r>
        <w:rPr>
          <w:rFonts w:cs="Arial"/>
          <w:b w:val="0"/>
          <w:bCs w:val="0"/>
          <w:sz w:val="28"/>
          <w:szCs w:val="28"/>
        </w:rPr>
        <w:t xml:space="preserve"> </w:t>
      </w:r>
      <w:r w:rsidR="00694501" w:rsidRPr="00EC4C9E">
        <w:rPr>
          <w:rFonts w:cs="Arial"/>
          <w:b w:val="0"/>
          <w:bCs w:val="0"/>
          <w:sz w:val="28"/>
          <w:szCs w:val="28"/>
        </w:rPr>
        <w:t>Occupational Health and Safety Management Systems (OHSMS)</w:t>
      </w:r>
    </w:p>
    <w:p w14:paraId="14EE517F" w14:textId="1B788338" w:rsidR="00694501" w:rsidRPr="00766CE4" w:rsidRDefault="00694501" w:rsidP="00A324D3">
      <w:pPr>
        <w:spacing w:after="240"/>
        <w:ind w:left="567"/>
        <w:jc w:val="both"/>
        <w:rPr>
          <w:sz w:val="24"/>
          <w:szCs w:val="24"/>
        </w:rPr>
      </w:pPr>
      <w:r w:rsidRPr="00766CE4">
        <w:rPr>
          <w:sz w:val="24"/>
          <w:szCs w:val="24"/>
        </w:rPr>
        <w:t>It is mandatory for all contractors engaged by Council to provide services or works, to have a documented OHSMS that conforms to the requirements of the OHS Act 2004 and that the system is implemented during the conduct of those services or works.</w:t>
      </w:r>
    </w:p>
    <w:p w14:paraId="7B2CCE25" w14:textId="75E7D2BB" w:rsidR="00694501" w:rsidRPr="00EC4C9E" w:rsidRDefault="00EC4C9E" w:rsidP="00A324D3">
      <w:pPr>
        <w:pStyle w:val="proc2"/>
        <w:numPr>
          <w:ilvl w:val="2"/>
          <w:numId w:val="11"/>
        </w:numPr>
        <w:ind w:left="1134" w:hanging="567"/>
        <w:rPr>
          <w:rFonts w:cs="Arial"/>
          <w:b w:val="0"/>
          <w:bCs w:val="0"/>
          <w:sz w:val="28"/>
          <w:szCs w:val="28"/>
        </w:rPr>
      </w:pPr>
      <w:r w:rsidRPr="00EC4C9E">
        <w:rPr>
          <w:rFonts w:cs="Arial"/>
          <w:b w:val="0"/>
          <w:bCs w:val="0"/>
          <w:sz w:val="28"/>
          <w:szCs w:val="28"/>
        </w:rPr>
        <w:t xml:space="preserve"> </w:t>
      </w:r>
      <w:r w:rsidR="00694501" w:rsidRPr="00EC4C9E">
        <w:rPr>
          <w:rFonts w:cs="Arial"/>
          <w:b w:val="0"/>
          <w:bCs w:val="0"/>
          <w:sz w:val="28"/>
          <w:szCs w:val="28"/>
        </w:rPr>
        <w:t>Insurance and Indemnity Requirements</w:t>
      </w:r>
    </w:p>
    <w:p w14:paraId="75A8F31F" w14:textId="13C4F79A" w:rsidR="002531EE" w:rsidRPr="00766CE4" w:rsidRDefault="002531EE" w:rsidP="00A324D3">
      <w:pPr>
        <w:spacing w:after="240"/>
        <w:ind w:left="567"/>
        <w:jc w:val="both"/>
        <w:rPr>
          <w:sz w:val="24"/>
          <w:szCs w:val="24"/>
        </w:rPr>
      </w:pPr>
      <w:r w:rsidRPr="00766CE4">
        <w:rPr>
          <w:sz w:val="24"/>
          <w:szCs w:val="24"/>
        </w:rPr>
        <w:t>All suppliers and contractors engaged by Council must maintain adequate insurance cover appropriate to the goods, services or works they provide. Minimum insurance requirements are set out in the Procurement Manual.</w:t>
      </w:r>
    </w:p>
    <w:p w14:paraId="6D83EF4F" w14:textId="065B8978" w:rsidR="002531EE" w:rsidRPr="00766CE4" w:rsidRDefault="002531EE" w:rsidP="00A324D3">
      <w:pPr>
        <w:spacing w:after="240"/>
        <w:ind w:left="567"/>
        <w:jc w:val="both"/>
        <w:rPr>
          <w:sz w:val="24"/>
          <w:szCs w:val="24"/>
        </w:rPr>
      </w:pPr>
      <w:r w:rsidRPr="00766CE4">
        <w:rPr>
          <w:sz w:val="24"/>
          <w:szCs w:val="24"/>
        </w:rPr>
        <w:t xml:space="preserve">Evidence of current insurance cover must be obtained prior to commencement of any contract. Any exemption to minimum insurance requirements must be authorised by the relevant Executive member </w:t>
      </w:r>
      <w:r w:rsidR="00E572D5" w:rsidRPr="00766CE4">
        <w:rPr>
          <w:sz w:val="24"/>
          <w:szCs w:val="24"/>
        </w:rPr>
        <w:t xml:space="preserve">and </w:t>
      </w:r>
      <w:r w:rsidRPr="00766CE4">
        <w:rPr>
          <w:sz w:val="24"/>
          <w:szCs w:val="24"/>
        </w:rPr>
        <w:t>Chief Financial Officer.</w:t>
      </w:r>
    </w:p>
    <w:bookmarkEnd w:id="1339"/>
    <w:p w14:paraId="2DAC79E1" w14:textId="47BE097C" w:rsidR="00694501" w:rsidRPr="00EC4C9E" w:rsidRDefault="001D103D" w:rsidP="00A324D3">
      <w:pPr>
        <w:pStyle w:val="proc2"/>
        <w:numPr>
          <w:ilvl w:val="2"/>
          <w:numId w:val="11"/>
        </w:numPr>
        <w:ind w:left="1134" w:hanging="567"/>
        <w:rPr>
          <w:rFonts w:cs="Arial"/>
          <w:b w:val="0"/>
          <w:bCs w:val="0"/>
          <w:sz w:val="28"/>
          <w:szCs w:val="28"/>
        </w:rPr>
      </w:pPr>
      <w:r w:rsidRPr="00EC4C9E">
        <w:rPr>
          <w:rFonts w:cs="Arial"/>
          <w:b w:val="0"/>
          <w:bCs w:val="0"/>
          <w:sz w:val="28"/>
          <w:szCs w:val="28"/>
        </w:rPr>
        <w:t xml:space="preserve"> </w:t>
      </w:r>
      <w:r w:rsidR="00694501" w:rsidRPr="00EC4C9E">
        <w:rPr>
          <w:rFonts w:cs="Arial"/>
          <w:b w:val="0"/>
          <w:bCs w:val="0"/>
          <w:sz w:val="28"/>
          <w:szCs w:val="28"/>
        </w:rPr>
        <w:t>Endorsement of products or services</w:t>
      </w:r>
    </w:p>
    <w:p w14:paraId="4CCC8A66" w14:textId="762BFC34" w:rsidR="00694501" w:rsidRPr="00766CE4" w:rsidRDefault="00694501" w:rsidP="00A324D3">
      <w:pPr>
        <w:spacing w:after="240"/>
        <w:ind w:left="567"/>
        <w:jc w:val="both"/>
        <w:rPr>
          <w:sz w:val="24"/>
          <w:szCs w:val="24"/>
        </w:rPr>
      </w:pPr>
      <w:r w:rsidRPr="00766CE4">
        <w:rPr>
          <w:sz w:val="24"/>
          <w:szCs w:val="24"/>
        </w:rPr>
        <w:t>Council staff must not endorse any external products or services. Individual requests received for endorsement must be referred to the relevant General Manager.</w:t>
      </w:r>
    </w:p>
    <w:p w14:paraId="5DE65258" w14:textId="77777777" w:rsidR="00694501" w:rsidRPr="001D103D" w:rsidRDefault="00694501" w:rsidP="00A324D3">
      <w:pPr>
        <w:pStyle w:val="proc2"/>
        <w:numPr>
          <w:ilvl w:val="2"/>
          <w:numId w:val="11"/>
        </w:numPr>
        <w:ind w:left="1134" w:hanging="567"/>
        <w:rPr>
          <w:rFonts w:cs="Arial"/>
          <w:bCs w:val="0"/>
          <w:sz w:val="28"/>
          <w:szCs w:val="28"/>
        </w:rPr>
      </w:pPr>
      <w:r w:rsidRPr="001D103D">
        <w:rPr>
          <w:rFonts w:cs="Arial"/>
          <w:b w:val="0"/>
          <w:bCs w:val="0"/>
          <w:sz w:val="28"/>
          <w:szCs w:val="28"/>
        </w:rPr>
        <w:t>Fraud and Complaints</w:t>
      </w:r>
    </w:p>
    <w:p w14:paraId="67F1CFAF" w14:textId="61C4D95B" w:rsidR="00694501" w:rsidRPr="00766CE4" w:rsidRDefault="00694501" w:rsidP="00A324D3">
      <w:pPr>
        <w:spacing w:after="240"/>
        <w:ind w:left="567"/>
        <w:jc w:val="both"/>
        <w:rPr>
          <w:sz w:val="24"/>
          <w:szCs w:val="24"/>
        </w:rPr>
      </w:pPr>
      <w:r w:rsidRPr="00766CE4">
        <w:rPr>
          <w:sz w:val="24"/>
          <w:szCs w:val="24"/>
        </w:rPr>
        <w:t>Council takes allegations of fraudulent activity and complaints about procurement seriously and is committed to handling such disclosures sensitively and confidentially.  Members of the public, suppliers and council staff are strongly encouraged to report fraudulent allegations or complaints about procurement processes and/or staff taking part in procurement activities to the Chief Financial Officer or Council’s General Manager Corporate Services.</w:t>
      </w:r>
    </w:p>
    <w:p w14:paraId="42B964FC" w14:textId="4135E18E" w:rsidR="00694501" w:rsidRPr="001D103D" w:rsidRDefault="00DD1500" w:rsidP="00A324D3">
      <w:pPr>
        <w:pStyle w:val="proc2"/>
        <w:numPr>
          <w:ilvl w:val="2"/>
          <w:numId w:val="11"/>
        </w:numPr>
        <w:ind w:left="1134" w:hanging="567"/>
        <w:rPr>
          <w:rFonts w:cs="Arial"/>
          <w:bCs w:val="0"/>
          <w:sz w:val="28"/>
          <w:szCs w:val="28"/>
        </w:rPr>
      </w:pPr>
      <w:r w:rsidRPr="001D103D">
        <w:rPr>
          <w:rFonts w:cs="Arial"/>
          <w:b w:val="0"/>
          <w:bCs w:val="0"/>
          <w:sz w:val="28"/>
          <w:szCs w:val="28"/>
        </w:rPr>
        <w:t>Public Interest Disclosure Act</w:t>
      </w:r>
    </w:p>
    <w:p w14:paraId="265EFD39" w14:textId="77777777" w:rsidR="00747A3B" w:rsidRPr="00766CE4" w:rsidRDefault="00747A3B" w:rsidP="00A324D3">
      <w:pPr>
        <w:spacing w:after="240"/>
        <w:ind w:left="567"/>
        <w:jc w:val="both"/>
        <w:rPr>
          <w:sz w:val="24"/>
          <w:szCs w:val="24"/>
        </w:rPr>
      </w:pPr>
      <w:r w:rsidRPr="00766CE4">
        <w:rPr>
          <w:sz w:val="24"/>
          <w:szCs w:val="24"/>
        </w:rPr>
        <w:t>The Public Interest Disclosure Act applies to all procurement activities undertaken by Council. The Act supports transparency and accountability by providing a formal process for reporting suspected improper conduct, including corruption, misuse of power, or serious wrongdoing in procurement and contract management.</w:t>
      </w:r>
    </w:p>
    <w:p w14:paraId="25253F63" w14:textId="77777777" w:rsidR="00747A3B" w:rsidRPr="00766CE4" w:rsidRDefault="00747A3B" w:rsidP="00A324D3">
      <w:pPr>
        <w:spacing w:after="240"/>
        <w:ind w:left="567"/>
        <w:jc w:val="both"/>
        <w:rPr>
          <w:sz w:val="24"/>
          <w:szCs w:val="24"/>
        </w:rPr>
      </w:pPr>
      <w:r w:rsidRPr="00766CE4">
        <w:rPr>
          <w:sz w:val="24"/>
          <w:szCs w:val="24"/>
        </w:rPr>
        <w:t>Any person who becomes aware of improper conduct relating to a procurement process may make a disclosure under the Act. Council will ensure that such disclosures are managed in accordance with legislative requirements and that appropriate action is taken where allegations are substantiated.</w:t>
      </w:r>
    </w:p>
    <w:p w14:paraId="6E6B34DB" w14:textId="20FD7DFA" w:rsidR="00747A3B" w:rsidRPr="00766CE4" w:rsidRDefault="00747A3B" w:rsidP="00A324D3">
      <w:pPr>
        <w:spacing w:after="240"/>
        <w:ind w:left="567"/>
        <w:jc w:val="both"/>
        <w:rPr>
          <w:sz w:val="24"/>
          <w:szCs w:val="24"/>
        </w:rPr>
      </w:pPr>
      <w:r w:rsidRPr="00766CE4">
        <w:rPr>
          <w:sz w:val="24"/>
          <w:szCs w:val="24"/>
        </w:rPr>
        <w:t>The Act also provides protections for individuals who make disclosures or who may be subject to reprisals as a result of raising concerns in relation to procurement activities.</w:t>
      </w:r>
    </w:p>
    <w:p w14:paraId="25CC3E67" w14:textId="77777777" w:rsidR="00694501" w:rsidRPr="001D103D" w:rsidRDefault="00694501" w:rsidP="009F1E3B">
      <w:pPr>
        <w:pStyle w:val="proc1"/>
        <w:numPr>
          <w:ilvl w:val="1"/>
          <w:numId w:val="11"/>
        </w:numPr>
        <w:rPr>
          <w:sz w:val="28"/>
          <w:szCs w:val="28"/>
        </w:rPr>
      </w:pPr>
      <w:bookmarkStart w:id="1340" w:name="_Toc227674632"/>
      <w:bookmarkStart w:id="1341" w:name="_Toc227674769"/>
      <w:bookmarkStart w:id="1342" w:name="_Toc227674904"/>
      <w:bookmarkStart w:id="1343" w:name="_Toc227675041"/>
      <w:bookmarkStart w:id="1344" w:name="_Toc227675178"/>
      <w:bookmarkStart w:id="1345" w:name="_Toc227675315"/>
      <w:bookmarkStart w:id="1346" w:name="_Toc227675452"/>
      <w:bookmarkStart w:id="1347" w:name="_Toc227675589"/>
      <w:bookmarkStart w:id="1348" w:name="_Toc227675727"/>
      <w:bookmarkStart w:id="1349" w:name="_Toc227675861"/>
      <w:bookmarkStart w:id="1350" w:name="_Toc227675986"/>
      <w:bookmarkStart w:id="1351" w:name="_Toc84884804"/>
      <w:bookmarkStart w:id="1352" w:name="_Toc85461590"/>
      <w:bookmarkStart w:id="1353" w:name="_Toc240536477"/>
      <w:bookmarkEnd w:id="1340"/>
      <w:bookmarkEnd w:id="1341"/>
      <w:bookmarkEnd w:id="1342"/>
      <w:bookmarkEnd w:id="1343"/>
      <w:bookmarkEnd w:id="1344"/>
      <w:bookmarkEnd w:id="1345"/>
      <w:bookmarkEnd w:id="1346"/>
      <w:bookmarkEnd w:id="1347"/>
      <w:bookmarkEnd w:id="1348"/>
      <w:bookmarkEnd w:id="1349"/>
      <w:bookmarkEnd w:id="1350"/>
      <w:r w:rsidRPr="001D103D">
        <w:rPr>
          <w:sz w:val="28"/>
          <w:szCs w:val="28"/>
        </w:rPr>
        <w:t>Internal Control</w:t>
      </w:r>
      <w:bookmarkEnd w:id="1351"/>
      <w:bookmarkEnd w:id="1352"/>
      <w:bookmarkEnd w:id="1353"/>
    </w:p>
    <w:p w14:paraId="2782AFCA" w14:textId="77777777" w:rsidR="00694501" w:rsidRPr="00766CE4" w:rsidRDefault="00694501" w:rsidP="00A324D3">
      <w:pPr>
        <w:spacing w:after="240"/>
        <w:ind w:left="425"/>
        <w:jc w:val="both"/>
        <w:rPr>
          <w:sz w:val="24"/>
          <w:szCs w:val="24"/>
        </w:rPr>
      </w:pPr>
      <w:r w:rsidRPr="00766CE4">
        <w:rPr>
          <w:sz w:val="24"/>
          <w:szCs w:val="24"/>
        </w:rPr>
        <w:t>The Council will establish and maintain a framework of internal controls over procurement processes that will ensure:</w:t>
      </w:r>
    </w:p>
    <w:p w14:paraId="5B9E9EF7" w14:textId="270EA210" w:rsidR="00694501" w:rsidRPr="00766CE4" w:rsidRDefault="00722BB2" w:rsidP="00A324D3">
      <w:pPr>
        <w:pStyle w:val="ListParagraph"/>
        <w:numPr>
          <w:ilvl w:val="0"/>
          <w:numId w:val="125"/>
        </w:numPr>
        <w:rPr>
          <w:rFonts w:cs="Arial"/>
          <w:sz w:val="24"/>
          <w:szCs w:val="24"/>
        </w:rPr>
      </w:pPr>
      <w:r w:rsidRPr="00766CE4">
        <w:rPr>
          <w:rFonts w:cs="Arial"/>
          <w:sz w:val="24"/>
          <w:szCs w:val="24"/>
        </w:rPr>
        <w:t>M</w:t>
      </w:r>
      <w:r w:rsidR="00694501" w:rsidRPr="00766CE4">
        <w:rPr>
          <w:rFonts w:cs="Arial"/>
          <w:sz w:val="24"/>
          <w:szCs w:val="24"/>
        </w:rPr>
        <w:t>ore than one person is involved in and responsible for a transaction</w:t>
      </w:r>
      <w:r w:rsidR="00265E2D" w:rsidRPr="00766CE4">
        <w:rPr>
          <w:rFonts w:cs="Arial"/>
          <w:sz w:val="24"/>
          <w:szCs w:val="24"/>
        </w:rPr>
        <w:t>;</w:t>
      </w:r>
    </w:p>
    <w:p w14:paraId="6F45479D" w14:textId="776C02CC" w:rsidR="00694501" w:rsidRPr="00766CE4" w:rsidRDefault="00722BB2" w:rsidP="00A324D3">
      <w:pPr>
        <w:pStyle w:val="ListParagraph"/>
        <w:numPr>
          <w:ilvl w:val="0"/>
          <w:numId w:val="125"/>
        </w:numPr>
        <w:rPr>
          <w:rFonts w:cs="Arial"/>
          <w:sz w:val="24"/>
          <w:szCs w:val="24"/>
        </w:rPr>
      </w:pPr>
      <w:r w:rsidRPr="00766CE4">
        <w:rPr>
          <w:rFonts w:cs="Arial"/>
          <w:sz w:val="24"/>
          <w:szCs w:val="24"/>
        </w:rPr>
        <w:t>T</w:t>
      </w:r>
      <w:r w:rsidR="00694501" w:rsidRPr="00766CE4">
        <w:rPr>
          <w:rFonts w:cs="Arial"/>
          <w:sz w:val="24"/>
          <w:szCs w:val="24"/>
        </w:rPr>
        <w:t xml:space="preserve">ransparency in the procurement process; </w:t>
      </w:r>
    </w:p>
    <w:p w14:paraId="4FD942BA" w14:textId="05B434CA" w:rsidR="00694501" w:rsidRPr="00766CE4" w:rsidRDefault="00722BB2" w:rsidP="00A324D3">
      <w:pPr>
        <w:pStyle w:val="ListParagraph"/>
        <w:numPr>
          <w:ilvl w:val="0"/>
          <w:numId w:val="125"/>
        </w:numPr>
        <w:rPr>
          <w:rFonts w:cs="Arial"/>
          <w:sz w:val="24"/>
          <w:szCs w:val="24"/>
        </w:rPr>
      </w:pPr>
      <w:r w:rsidRPr="00766CE4">
        <w:rPr>
          <w:rFonts w:cs="Arial"/>
          <w:sz w:val="24"/>
          <w:szCs w:val="24"/>
        </w:rPr>
        <w:t>A</w:t>
      </w:r>
      <w:r w:rsidR="00694501" w:rsidRPr="00766CE4">
        <w:rPr>
          <w:rFonts w:cs="Arial"/>
          <w:sz w:val="24"/>
          <w:szCs w:val="24"/>
        </w:rPr>
        <w:t xml:space="preserve"> clearly documented audit trail exists for procurement activities;</w:t>
      </w:r>
    </w:p>
    <w:p w14:paraId="5CE1BA9A" w14:textId="6D59D36A" w:rsidR="00694501" w:rsidRPr="00766CE4" w:rsidRDefault="00722BB2" w:rsidP="00A324D3">
      <w:pPr>
        <w:pStyle w:val="ListParagraph"/>
        <w:numPr>
          <w:ilvl w:val="0"/>
          <w:numId w:val="125"/>
        </w:numPr>
        <w:rPr>
          <w:rFonts w:cs="Arial"/>
          <w:sz w:val="24"/>
          <w:szCs w:val="24"/>
        </w:rPr>
      </w:pPr>
      <w:r w:rsidRPr="00766CE4">
        <w:rPr>
          <w:rFonts w:cs="Arial"/>
          <w:sz w:val="24"/>
          <w:szCs w:val="24"/>
        </w:rPr>
        <w:t>A</w:t>
      </w:r>
      <w:r w:rsidR="00694501" w:rsidRPr="00766CE4">
        <w:rPr>
          <w:rFonts w:cs="Arial"/>
          <w:sz w:val="24"/>
          <w:szCs w:val="24"/>
        </w:rPr>
        <w:t xml:space="preserve">ppropriate authorisations are obtained and documented; </w:t>
      </w:r>
    </w:p>
    <w:p w14:paraId="5AC08866" w14:textId="2A1085E4" w:rsidR="00694501" w:rsidRPr="00766CE4" w:rsidRDefault="00722BB2" w:rsidP="00A324D3">
      <w:pPr>
        <w:pStyle w:val="ListParagraph"/>
        <w:numPr>
          <w:ilvl w:val="0"/>
          <w:numId w:val="125"/>
        </w:numPr>
        <w:rPr>
          <w:rFonts w:cs="Arial"/>
          <w:sz w:val="24"/>
          <w:szCs w:val="24"/>
        </w:rPr>
      </w:pPr>
      <w:r w:rsidRPr="00766CE4">
        <w:rPr>
          <w:rFonts w:cs="Arial"/>
          <w:sz w:val="24"/>
          <w:szCs w:val="24"/>
        </w:rPr>
        <w:t>S</w:t>
      </w:r>
      <w:r w:rsidR="00694501" w:rsidRPr="00766CE4">
        <w:rPr>
          <w:rFonts w:cs="Arial"/>
          <w:sz w:val="24"/>
          <w:szCs w:val="24"/>
        </w:rPr>
        <w:t>ystems are in place for appropriate monitoring and performance measurement; and</w:t>
      </w:r>
    </w:p>
    <w:p w14:paraId="0C0BDCFF" w14:textId="459CB032" w:rsidR="009A1261" w:rsidRPr="00766CE4" w:rsidRDefault="00722BB2" w:rsidP="009A1261">
      <w:pPr>
        <w:pStyle w:val="ListParagraph"/>
        <w:numPr>
          <w:ilvl w:val="0"/>
          <w:numId w:val="125"/>
        </w:numPr>
        <w:rPr>
          <w:rFonts w:cs="Arial"/>
          <w:sz w:val="24"/>
          <w:szCs w:val="24"/>
        </w:rPr>
      </w:pPr>
      <w:r w:rsidRPr="00766CE4">
        <w:rPr>
          <w:rFonts w:cs="Arial"/>
          <w:sz w:val="24"/>
          <w:szCs w:val="24"/>
        </w:rPr>
        <w:t>C</w:t>
      </w:r>
      <w:r w:rsidR="003B6A7B" w:rsidRPr="00766CE4">
        <w:rPr>
          <w:rFonts w:cs="Arial"/>
          <w:sz w:val="24"/>
          <w:szCs w:val="24"/>
        </w:rPr>
        <w:t>ompliance with the procedure and ongoing contract management will be subject to internal reviews and audits.</w:t>
      </w:r>
      <w:bookmarkStart w:id="1354" w:name="_Toc84884805"/>
      <w:bookmarkStart w:id="1355" w:name="_Toc85461591"/>
    </w:p>
    <w:p w14:paraId="273DA4D2" w14:textId="69D62B92" w:rsidR="00694501" w:rsidRPr="005F6A36" w:rsidRDefault="00694501" w:rsidP="009F1E3B">
      <w:pPr>
        <w:pStyle w:val="Heading1"/>
        <w:keepLines/>
        <w:numPr>
          <w:ilvl w:val="0"/>
          <w:numId w:val="11"/>
        </w:numPr>
        <w:spacing w:before="480" w:after="0" w:line="276" w:lineRule="auto"/>
        <w:rPr>
          <w:sz w:val="36"/>
          <w:szCs w:val="36"/>
        </w:rPr>
      </w:pPr>
      <w:bookmarkStart w:id="1356" w:name="_Toc240536478"/>
      <w:r w:rsidRPr="005F6A36">
        <w:rPr>
          <w:sz w:val="36"/>
          <w:szCs w:val="36"/>
        </w:rPr>
        <w:t>Sustainability &amp; Social Procurement</w:t>
      </w:r>
      <w:bookmarkEnd w:id="1354"/>
      <w:bookmarkEnd w:id="1355"/>
      <w:bookmarkEnd w:id="1356"/>
    </w:p>
    <w:p w14:paraId="02E8D81F" w14:textId="77777777" w:rsidR="00694501" w:rsidRPr="005F6A36" w:rsidRDefault="00694501" w:rsidP="00694501">
      <w:pPr>
        <w:autoSpaceDE w:val="0"/>
        <w:autoSpaceDN w:val="0"/>
        <w:adjustRightInd w:val="0"/>
        <w:spacing w:after="0" w:line="240" w:lineRule="auto"/>
        <w:ind w:left="426"/>
        <w:rPr>
          <w:sz w:val="21"/>
          <w:szCs w:val="21"/>
        </w:rPr>
      </w:pPr>
    </w:p>
    <w:p w14:paraId="5FC1187E" w14:textId="77777777" w:rsidR="007F4C8B" w:rsidRPr="00766CE4" w:rsidRDefault="007F4C8B" w:rsidP="007F4C8B">
      <w:pPr>
        <w:autoSpaceDE w:val="0"/>
        <w:autoSpaceDN w:val="0"/>
        <w:adjustRightInd w:val="0"/>
        <w:spacing w:after="0" w:line="240" w:lineRule="auto"/>
        <w:ind w:left="426"/>
        <w:rPr>
          <w:sz w:val="24"/>
          <w:szCs w:val="24"/>
        </w:rPr>
      </w:pPr>
      <w:r w:rsidRPr="00766CE4">
        <w:rPr>
          <w:b/>
          <w:bCs/>
          <w:sz w:val="24"/>
          <w:szCs w:val="24"/>
        </w:rPr>
        <w:t>Our Commitment to Social, Indigenous and Sustainable Procurement</w:t>
      </w:r>
    </w:p>
    <w:p w14:paraId="0DD57557" w14:textId="1565E611" w:rsidR="007F4C8B" w:rsidRPr="00766CE4" w:rsidRDefault="007F4C8B" w:rsidP="00A324D3">
      <w:pPr>
        <w:spacing w:after="240"/>
        <w:ind w:left="425"/>
        <w:jc w:val="both"/>
        <w:rPr>
          <w:sz w:val="24"/>
          <w:szCs w:val="24"/>
        </w:rPr>
      </w:pPr>
      <w:r w:rsidRPr="00766CE4">
        <w:rPr>
          <w:sz w:val="24"/>
          <w:szCs w:val="24"/>
        </w:rPr>
        <w:t>Yarra City Council spends significant public funds each year on goods, services and works. This buying power represents both an opportunity and an obligation to do more than acquire services efficiently. Through purposeful procurement, Council can actively contribute to the social, environmental and cultural priorities that define Yarra and value for money must be understood in that context, encompassing the full community benefit that procurement can generate across the lifecycle of goods, services and works.</w:t>
      </w:r>
    </w:p>
    <w:p w14:paraId="6388D349" w14:textId="54AD9216" w:rsidR="007F4C8B" w:rsidRPr="00766CE4" w:rsidRDefault="007F4C8B" w:rsidP="00A324D3">
      <w:pPr>
        <w:spacing w:after="240"/>
        <w:ind w:left="425"/>
        <w:jc w:val="both"/>
        <w:rPr>
          <w:b/>
          <w:bCs/>
          <w:sz w:val="24"/>
          <w:szCs w:val="24"/>
        </w:rPr>
      </w:pPr>
      <w:r w:rsidRPr="00766CE4">
        <w:rPr>
          <w:sz w:val="24"/>
          <w:szCs w:val="24"/>
        </w:rPr>
        <w:t>This commitment is embedded in Council's procurement activity consistent with the Council Plan 2025–29 and adopted strategies including the Climate Emergency Plan, Yana Ngargna Policy and Access and Inclusion Policy.</w:t>
      </w:r>
    </w:p>
    <w:p w14:paraId="043DBFA2" w14:textId="1095F29B" w:rsidR="007F4C8B" w:rsidRPr="00766CE4" w:rsidRDefault="007F4C8B" w:rsidP="007F4C8B">
      <w:pPr>
        <w:autoSpaceDE w:val="0"/>
        <w:autoSpaceDN w:val="0"/>
        <w:adjustRightInd w:val="0"/>
        <w:spacing w:after="0" w:line="240" w:lineRule="auto"/>
        <w:ind w:left="426"/>
        <w:rPr>
          <w:sz w:val="24"/>
          <w:szCs w:val="24"/>
        </w:rPr>
      </w:pPr>
      <w:r w:rsidRPr="00766CE4">
        <w:rPr>
          <w:b/>
          <w:bCs/>
          <w:sz w:val="24"/>
          <w:szCs w:val="24"/>
        </w:rPr>
        <w:t>Social outcomes</w:t>
      </w:r>
    </w:p>
    <w:p w14:paraId="675B4812" w14:textId="77777777" w:rsidR="00C921F6" w:rsidRPr="00766CE4" w:rsidRDefault="007F4C8B" w:rsidP="00A324D3">
      <w:pPr>
        <w:spacing w:after="240"/>
        <w:ind w:left="425"/>
        <w:jc w:val="both"/>
        <w:rPr>
          <w:sz w:val="24"/>
          <w:szCs w:val="24"/>
        </w:rPr>
      </w:pPr>
      <w:r w:rsidRPr="00766CE4">
        <w:rPr>
          <w:sz w:val="24"/>
          <w:szCs w:val="24"/>
        </w:rPr>
        <w:t xml:space="preserve">Council will </w:t>
      </w:r>
      <w:r w:rsidR="00BA1A26" w:rsidRPr="00766CE4">
        <w:rPr>
          <w:sz w:val="24"/>
          <w:szCs w:val="24"/>
        </w:rPr>
        <w:t xml:space="preserve">leverage </w:t>
      </w:r>
      <w:r w:rsidRPr="00766CE4">
        <w:rPr>
          <w:sz w:val="24"/>
          <w:szCs w:val="24"/>
        </w:rPr>
        <w:t>its procurement activity to build a more inclusive and equitable community, actively seeking suppliers that provide fair employment conditions, support people facing barriers to workforce participation, advance gender equity, and contribute to the wellbeing of Yarra's diverse community. Social benefit will be a weighted criterion in all formal procurement processes, and Council is committed to growing spend with social enterprises over time.</w:t>
      </w:r>
    </w:p>
    <w:p w14:paraId="20625470" w14:textId="6D153BB6" w:rsidR="00C921F6" w:rsidRPr="00766CE4" w:rsidRDefault="00C921F6" w:rsidP="00C921F6">
      <w:pPr>
        <w:autoSpaceDE w:val="0"/>
        <w:autoSpaceDN w:val="0"/>
        <w:adjustRightInd w:val="0"/>
        <w:spacing w:after="0" w:line="240" w:lineRule="auto"/>
        <w:ind w:left="426"/>
        <w:rPr>
          <w:sz w:val="24"/>
          <w:szCs w:val="24"/>
        </w:rPr>
      </w:pPr>
      <w:r w:rsidRPr="00766CE4">
        <w:rPr>
          <w:b/>
          <w:bCs/>
          <w:sz w:val="24"/>
          <w:szCs w:val="24"/>
        </w:rPr>
        <w:t>Modern Slavery</w:t>
      </w:r>
    </w:p>
    <w:p w14:paraId="772D3E7F" w14:textId="5AF82CC5" w:rsidR="007F4C8B" w:rsidRPr="00766CE4" w:rsidRDefault="007F4C8B" w:rsidP="00A324D3">
      <w:pPr>
        <w:spacing w:after="240"/>
        <w:ind w:left="425"/>
        <w:jc w:val="both"/>
        <w:rPr>
          <w:sz w:val="24"/>
          <w:szCs w:val="24"/>
        </w:rPr>
      </w:pPr>
      <w:r w:rsidRPr="00766CE4">
        <w:rPr>
          <w:sz w:val="24"/>
          <w:szCs w:val="24"/>
        </w:rPr>
        <w:t xml:space="preserve">Council </w:t>
      </w:r>
      <w:r w:rsidR="006E007F" w:rsidRPr="00766CE4">
        <w:rPr>
          <w:sz w:val="24"/>
          <w:szCs w:val="24"/>
        </w:rPr>
        <w:t xml:space="preserve">does not </w:t>
      </w:r>
      <w:r w:rsidR="00C921F6" w:rsidRPr="00766CE4">
        <w:rPr>
          <w:sz w:val="24"/>
          <w:szCs w:val="24"/>
        </w:rPr>
        <w:t>tolerate modern slavery in any form</w:t>
      </w:r>
      <w:r w:rsidR="00554CC9" w:rsidRPr="00766CE4">
        <w:rPr>
          <w:sz w:val="24"/>
          <w:szCs w:val="24"/>
        </w:rPr>
        <w:t>. Council is committed to identifying, preventing and addressing the risk of modern slavery in its operations and supply chains, consistent with its obligations under the Modern Slavery Act 2018 (Cth). Council expects all suppliers to uphold this commitment and to take active steps to prevent, detect and remediate modern slavery throughout their own</w:t>
      </w:r>
      <w:r w:rsidRPr="00766CE4">
        <w:rPr>
          <w:sz w:val="24"/>
          <w:szCs w:val="24"/>
        </w:rPr>
        <w:t xml:space="preserve"> operations and supply chains.</w:t>
      </w:r>
    </w:p>
    <w:p w14:paraId="5FAF365C" w14:textId="6C4D93D5" w:rsidR="007F4C8B" w:rsidRPr="00766CE4" w:rsidRDefault="007F4C8B" w:rsidP="007F4C8B">
      <w:pPr>
        <w:autoSpaceDE w:val="0"/>
        <w:autoSpaceDN w:val="0"/>
        <w:adjustRightInd w:val="0"/>
        <w:spacing w:after="0" w:line="240" w:lineRule="auto"/>
        <w:ind w:left="426"/>
        <w:rPr>
          <w:sz w:val="24"/>
          <w:szCs w:val="24"/>
        </w:rPr>
      </w:pPr>
      <w:r w:rsidRPr="00766CE4">
        <w:rPr>
          <w:b/>
          <w:bCs/>
          <w:sz w:val="24"/>
          <w:szCs w:val="24"/>
        </w:rPr>
        <w:t>Indigenous business and self-determination</w:t>
      </w:r>
    </w:p>
    <w:p w14:paraId="3D730B96" w14:textId="66BE3F5E" w:rsidR="007F4C8B" w:rsidRPr="00766CE4" w:rsidRDefault="007F4C8B" w:rsidP="007A7B72">
      <w:pPr>
        <w:spacing w:after="240"/>
        <w:ind w:left="425"/>
        <w:jc w:val="both"/>
        <w:rPr>
          <w:sz w:val="24"/>
          <w:szCs w:val="24"/>
        </w:rPr>
      </w:pPr>
      <w:r w:rsidRPr="00766CE4">
        <w:rPr>
          <w:sz w:val="24"/>
          <w:szCs w:val="24"/>
        </w:rPr>
        <w:t>Council recognises that economic participation is central to self-determination. Council is committed to increasing opportunities for Aboriginal and Torres Strait Islander businesses to supply goods, services and works, whether through direct engagement, subcontracting, or employment outcomes within contracts, and will actively utilise its Supply Nation membership to support this commitment.</w:t>
      </w:r>
    </w:p>
    <w:p w14:paraId="2F092622" w14:textId="1560CBB1" w:rsidR="007F4C8B" w:rsidRPr="00766CE4" w:rsidRDefault="007F4C8B" w:rsidP="007F4C8B">
      <w:pPr>
        <w:autoSpaceDE w:val="0"/>
        <w:autoSpaceDN w:val="0"/>
        <w:adjustRightInd w:val="0"/>
        <w:spacing w:after="0" w:line="240" w:lineRule="auto"/>
        <w:ind w:left="426"/>
        <w:rPr>
          <w:sz w:val="24"/>
          <w:szCs w:val="24"/>
        </w:rPr>
      </w:pPr>
      <w:r w:rsidRPr="00766CE4">
        <w:rPr>
          <w:b/>
          <w:bCs/>
          <w:sz w:val="24"/>
          <w:szCs w:val="24"/>
        </w:rPr>
        <w:t>Environmental sustainability</w:t>
      </w:r>
    </w:p>
    <w:p w14:paraId="17169648" w14:textId="03220ADE" w:rsidR="007F4C8B" w:rsidRPr="00766CE4" w:rsidRDefault="007F4C8B" w:rsidP="00A324D3">
      <w:pPr>
        <w:spacing w:after="240"/>
        <w:ind w:left="425"/>
        <w:jc w:val="both"/>
        <w:rPr>
          <w:b/>
          <w:bCs/>
          <w:sz w:val="24"/>
          <w:szCs w:val="24"/>
        </w:rPr>
      </w:pPr>
      <w:r w:rsidRPr="00766CE4">
        <w:rPr>
          <w:sz w:val="24"/>
          <w:szCs w:val="24"/>
        </w:rPr>
        <w:t xml:space="preserve">Council declared a climate emergency and procurement decisions must reflect this. Council will give preference to environmentally preferable goods, services and providers, those that support the circular economy, reduce emissions, minimise waste and demonstrate genuine environmental leadership. </w:t>
      </w:r>
      <w:r w:rsidR="00DB4317" w:rsidRPr="00766CE4">
        <w:rPr>
          <w:sz w:val="24"/>
          <w:szCs w:val="24"/>
        </w:rPr>
        <w:t>The specific mechanisms used to give effect to this preference</w:t>
      </w:r>
      <w:r w:rsidRPr="00766CE4">
        <w:rPr>
          <w:sz w:val="24"/>
          <w:szCs w:val="24"/>
        </w:rPr>
        <w:t xml:space="preserve">, </w:t>
      </w:r>
      <w:r w:rsidR="00DB4317" w:rsidRPr="00766CE4">
        <w:rPr>
          <w:sz w:val="24"/>
          <w:szCs w:val="24"/>
        </w:rPr>
        <w:t xml:space="preserve">including the minimum sustainability weighting </w:t>
      </w:r>
      <w:r w:rsidRPr="00766CE4">
        <w:rPr>
          <w:sz w:val="24"/>
          <w:szCs w:val="24"/>
        </w:rPr>
        <w:t>and price preference</w:t>
      </w:r>
      <w:r w:rsidR="00DB4317" w:rsidRPr="00766CE4">
        <w:rPr>
          <w:sz w:val="24"/>
          <w:szCs w:val="24"/>
        </w:rPr>
        <w:t xml:space="preserve">, are set out in section </w:t>
      </w:r>
      <w:r w:rsidR="00DB4317" w:rsidRPr="00766CE4">
        <w:rPr>
          <w:b/>
          <w:bCs/>
          <w:sz w:val="24"/>
          <w:szCs w:val="24"/>
        </w:rPr>
        <w:t>8</w:t>
      </w:r>
      <w:r w:rsidRPr="00766CE4">
        <w:rPr>
          <w:sz w:val="24"/>
          <w:szCs w:val="24"/>
        </w:rPr>
        <w:t>.</w:t>
      </w:r>
      <w:r w:rsidR="00DB4317" w:rsidRPr="00766CE4">
        <w:rPr>
          <w:b/>
          <w:bCs/>
          <w:sz w:val="24"/>
          <w:szCs w:val="24"/>
        </w:rPr>
        <w:t>1.2 (Special mechanisms).</w:t>
      </w:r>
    </w:p>
    <w:p w14:paraId="1FC29784" w14:textId="041AE6D8" w:rsidR="007F4C8B" w:rsidRPr="00766CE4" w:rsidRDefault="007F4C8B" w:rsidP="007F4C8B">
      <w:pPr>
        <w:autoSpaceDE w:val="0"/>
        <w:autoSpaceDN w:val="0"/>
        <w:adjustRightInd w:val="0"/>
        <w:spacing w:after="0" w:line="240" w:lineRule="auto"/>
        <w:ind w:left="426"/>
        <w:rPr>
          <w:sz w:val="24"/>
          <w:szCs w:val="24"/>
        </w:rPr>
      </w:pPr>
      <w:r w:rsidRPr="00766CE4">
        <w:rPr>
          <w:b/>
          <w:bCs/>
          <w:sz w:val="24"/>
          <w:szCs w:val="24"/>
        </w:rPr>
        <w:t>Accountability</w:t>
      </w:r>
    </w:p>
    <w:p w14:paraId="5492C68C" w14:textId="7488BC94" w:rsidR="00626623" w:rsidRPr="00766CE4" w:rsidRDefault="007F4C8B" w:rsidP="00A324D3">
      <w:pPr>
        <w:spacing w:after="240"/>
        <w:ind w:left="425"/>
        <w:jc w:val="both"/>
        <w:rPr>
          <w:sz w:val="24"/>
          <w:szCs w:val="24"/>
        </w:rPr>
      </w:pPr>
      <w:r w:rsidRPr="00766CE4">
        <w:rPr>
          <w:sz w:val="24"/>
          <w:szCs w:val="24"/>
        </w:rPr>
        <w:t xml:space="preserve">Council will track and report on procurement outcomes against these objectives as part of its annual reporting obligations under the Financial Sustainability Strategy 2023–2033. </w:t>
      </w:r>
      <w:r w:rsidR="00626623" w:rsidRPr="00766CE4">
        <w:rPr>
          <w:sz w:val="24"/>
          <w:szCs w:val="24"/>
        </w:rPr>
        <w:t>Reporting will capture relevant outcomes and expenditure associated with social procurement, environmental sustainability evaluation weightings, local and First Peoples supplier engagement, and contract management performance.</w:t>
      </w:r>
    </w:p>
    <w:p w14:paraId="073B5F46" w14:textId="3CB76C68" w:rsidR="007F4C8B" w:rsidRPr="00766CE4" w:rsidRDefault="00CB1E6A" w:rsidP="00A324D3">
      <w:pPr>
        <w:spacing w:after="240"/>
        <w:ind w:left="425"/>
        <w:jc w:val="both"/>
        <w:rPr>
          <w:sz w:val="24"/>
          <w:szCs w:val="24"/>
        </w:rPr>
      </w:pPr>
      <w:r w:rsidRPr="00766CE4">
        <w:rPr>
          <w:sz w:val="24"/>
          <w:szCs w:val="24"/>
        </w:rPr>
        <w:t>Contract Managers</w:t>
      </w:r>
      <w:r w:rsidR="007F4C8B" w:rsidRPr="00766CE4">
        <w:rPr>
          <w:sz w:val="24"/>
          <w:szCs w:val="24"/>
        </w:rPr>
        <w:t xml:space="preserve"> are empowered and expected to apply these commitments in day-to-day activity, with practical guidance provided in the Procurement Manual. Council officers will be supported through training and capability development to ensure these commitments are understood and consistently applied.</w:t>
      </w:r>
    </w:p>
    <w:p w14:paraId="5AC7403B" w14:textId="0C4E6046" w:rsidR="00694501" w:rsidRPr="00766CE4" w:rsidRDefault="00694501" w:rsidP="00A324D3">
      <w:pPr>
        <w:spacing w:after="240"/>
        <w:ind w:left="425"/>
        <w:jc w:val="both"/>
        <w:rPr>
          <w:sz w:val="24"/>
          <w:szCs w:val="24"/>
        </w:rPr>
      </w:pPr>
      <w:r w:rsidRPr="00766CE4">
        <w:rPr>
          <w:sz w:val="24"/>
          <w:szCs w:val="24"/>
        </w:rPr>
        <w:t xml:space="preserve">Council is committed to procuring products and services in alignment with its values of environmental, social, economic and cultural sustainability. This section details the specific policy and operational implications of such considerations. </w:t>
      </w:r>
    </w:p>
    <w:p w14:paraId="28F80355" w14:textId="3957504C" w:rsidR="00694501" w:rsidRPr="00766CE4" w:rsidRDefault="00694501" w:rsidP="00694501">
      <w:pPr>
        <w:autoSpaceDE w:val="0"/>
        <w:autoSpaceDN w:val="0"/>
        <w:adjustRightInd w:val="0"/>
        <w:spacing w:after="0" w:line="240" w:lineRule="auto"/>
        <w:ind w:left="426"/>
        <w:rPr>
          <w:sz w:val="24"/>
          <w:szCs w:val="24"/>
        </w:rPr>
      </w:pPr>
      <w:r w:rsidRPr="00766CE4">
        <w:rPr>
          <w:sz w:val="24"/>
          <w:szCs w:val="24"/>
        </w:rPr>
        <w:t>Overall, tender documents or Requests for Quotation of Total Contract Value $50,000 or over should contain:</w:t>
      </w:r>
    </w:p>
    <w:p w14:paraId="045162B7" w14:textId="77777777" w:rsidR="00DF000F" w:rsidRPr="00766CE4" w:rsidRDefault="00DF000F" w:rsidP="00694501">
      <w:pPr>
        <w:autoSpaceDE w:val="0"/>
        <w:autoSpaceDN w:val="0"/>
        <w:adjustRightInd w:val="0"/>
        <w:spacing w:after="0" w:line="240" w:lineRule="auto"/>
        <w:ind w:left="426"/>
        <w:rPr>
          <w:sz w:val="24"/>
          <w:szCs w:val="24"/>
        </w:rPr>
      </w:pPr>
    </w:p>
    <w:p w14:paraId="4DA49CEF" w14:textId="77777777" w:rsidR="00694501" w:rsidRPr="00766CE4" w:rsidRDefault="00694501" w:rsidP="00A324D3">
      <w:pPr>
        <w:pStyle w:val="ListParagraph"/>
        <w:numPr>
          <w:ilvl w:val="0"/>
          <w:numId w:val="125"/>
        </w:numPr>
        <w:rPr>
          <w:rFonts w:cs="Arial"/>
          <w:sz w:val="24"/>
          <w:szCs w:val="24"/>
        </w:rPr>
      </w:pPr>
      <w:r w:rsidRPr="00766CE4">
        <w:rPr>
          <w:rFonts w:cs="Arial"/>
          <w:sz w:val="24"/>
          <w:szCs w:val="24"/>
        </w:rPr>
        <w:t>Clauses and weightings to assess environmental and social costs and benefits;</w:t>
      </w:r>
    </w:p>
    <w:p w14:paraId="3F255A7C" w14:textId="77777777" w:rsidR="00694501" w:rsidRPr="00766CE4" w:rsidRDefault="00694501" w:rsidP="00A324D3">
      <w:pPr>
        <w:pStyle w:val="ListParagraph"/>
        <w:numPr>
          <w:ilvl w:val="0"/>
          <w:numId w:val="125"/>
        </w:numPr>
        <w:rPr>
          <w:rFonts w:cs="Arial"/>
          <w:sz w:val="24"/>
          <w:szCs w:val="24"/>
        </w:rPr>
      </w:pPr>
      <w:r w:rsidRPr="00766CE4">
        <w:rPr>
          <w:rFonts w:cs="Arial"/>
          <w:sz w:val="24"/>
          <w:szCs w:val="24"/>
        </w:rPr>
        <w:t>Appropriately designed response statements to allow suppliers to clearly articulate how they will address social and environmental impacts; and</w:t>
      </w:r>
    </w:p>
    <w:p w14:paraId="6A1C865E" w14:textId="380099D5" w:rsidR="009A1261" w:rsidRPr="00766CE4" w:rsidRDefault="00694501" w:rsidP="00A324D3">
      <w:pPr>
        <w:pStyle w:val="ListParagraph"/>
        <w:numPr>
          <w:ilvl w:val="0"/>
          <w:numId w:val="125"/>
        </w:numPr>
        <w:rPr>
          <w:rFonts w:cs="Arial"/>
          <w:sz w:val="24"/>
          <w:szCs w:val="24"/>
        </w:rPr>
      </w:pPr>
      <w:r w:rsidRPr="00766CE4">
        <w:rPr>
          <w:rFonts w:cs="Arial"/>
          <w:sz w:val="24"/>
          <w:szCs w:val="24"/>
        </w:rPr>
        <w:t>Clauses that are framed as measurable deliverables rather than aspirations with regard to environmental, social, economic and cultural sustainability.</w:t>
      </w:r>
    </w:p>
    <w:p w14:paraId="75D8F00F" w14:textId="77777777" w:rsidR="007A7B72" w:rsidRPr="00766CE4" w:rsidRDefault="007A7B72" w:rsidP="00A324D3">
      <w:pPr>
        <w:pStyle w:val="ListParagraph"/>
        <w:ind w:left="1069"/>
        <w:rPr>
          <w:rFonts w:cs="Arial"/>
          <w:b/>
          <w:sz w:val="24"/>
          <w:szCs w:val="24"/>
        </w:rPr>
      </w:pPr>
    </w:p>
    <w:p w14:paraId="3C803C7D" w14:textId="77777777" w:rsidR="00694501" w:rsidRPr="001D103D" w:rsidRDefault="00694501" w:rsidP="009F1E3B">
      <w:pPr>
        <w:pStyle w:val="proc1"/>
        <w:numPr>
          <w:ilvl w:val="1"/>
          <w:numId w:val="11"/>
        </w:numPr>
        <w:rPr>
          <w:sz w:val="28"/>
          <w:szCs w:val="28"/>
        </w:rPr>
      </w:pPr>
      <w:bookmarkStart w:id="1357" w:name="_Toc84884806"/>
      <w:bookmarkStart w:id="1358" w:name="_Toc85461592"/>
      <w:bookmarkStart w:id="1359" w:name="_Toc240536479"/>
      <w:r w:rsidRPr="001D103D">
        <w:rPr>
          <w:sz w:val="28"/>
          <w:szCs w:val="28"/>
        </w:rPr>
        <w:t>Environmental Sustainability</w:t>
      </w:r>
      <w:bookmarkEnd w:id="1357"/>
      <w:bookmarkEnd w:id="1358"/>
      <w:bookmarkEnd w:id="1359"/>
    </w:p>
    <w:p w14:paraId="1E9D509E" w14:textId="77777777" w:rsidR="00694501" w:rsidRPr="001D103D" w:rsidRDefault="00694501" w:rsidP="00A324D3">
      <w:pPr>
        <w:pStyle w:val="proc2"/>
        <w:numPr>
          <w:ilvl w:val="2"/>
          <w:numId w:val="11"/>
        </w:numPr>
        <w:ind w:left="1134" w:hanging="567"/>
        <w:rPr>
          <w:rFonts w:cs="Arial"/>
          <w:b w:val="0"/>
          <w:bCs w:val="0"/>
          <w:sz w:val="28"/>
          <w:szCs w:val="28"/>
        </w:rPr>
      </w:pPr>
      <w:r w:rsidRPr="001D103D">
        <w:rPr>
          <w:rFonts w:cs="Arial"/>
          <w:b w:val="0"/>
          <w:bCs w:val="0"/>
          <w:sz w:val="28"/>
          <w:szCs w:val="28"/>
        </w:rPr>
        <w:t>Sustainable procurement statement</w:t>
      </w:r>
    </w:p>
    <w:p w14:paraId="44EBD5B5" w14:textId="07133BEA" w:rsidR="00C17D2C" w:rsidRPr="00766CE4" w:rsidRDefault="00C17D2C" w:rsidP="00A324D3">
      <w:pPr>
        <w:spacing w:after="240"/>
        <w:ind w:left="567"/>
        <w:jc w:val="both"/>
        <w:rPr>
          <w:sz w:val="24"/>
          <w:szCs w:val="24"/>
        </w:rPr>
      </w:pPr>
      <w:r w:rsidRPr="00766CE4">
        <w:rPr>
          <w:sz w:val="24"/>
          <w:szCs w:val="24"/>
        </w:rPr>
        <w:t>Council is committed to responding to the climate emergency through its procurement activities. Procurement decisions must reflect Council's Climate Emergency Plan objectives and give priority to circular economy principles, lifecycle approaches and the reduction of carbon emissions.</w:t>
      </w:r>
    </w:p>
    <w:p w14:paraId="1F14BAB2" w14:textId="4A315700" w:rsidR="00DF000F" w:rsidRPr="00766CE4" w:rsidRDefault="00C17D2C" w:rsidP="007A7B72">
      <w:pPr>
        <w:spacing w:after="240"/>
        <w:ind w:left="567"/>
        <w:jc w:val="both"/>
        <w:rPr>
          <w:sz w:val="24"/>
          <w:szCs w:val="24"/>
        </w:rPr>
      </w:pPr>
      <w:r w:rsidRPr="00766CE4">
        <w:rPr>
          <w:sz w:val="24"/>
          <w:szCs w:val="24"/>
        </w:rPr>
        <w:t>Council will purchase environmentally preferable products and services whenever they meet Council's needs and represent Value for Money and will use its purchasing power to stimulate the market for sustainable products and services.</w:t>
      </w:r>
    </w:p>
    <w:p w14:paraId="20582192" w14:textId="77777777" w:rsidR="00694501" w:rsidRPr="001D103D" w:rsidRDefault="00694501" w:rsidP="00A324D3">
      <w:pPr>
        <w:pStyle w:val="proc2"/>
        <w:numPr>
          <w:ilvl w:val="2"/>
          <w:numId w:val="11"/>
        </w:numPr>
        <w:ind w:left="1134" w:hanging="567"/>
        <w:rPr>
          <w:rFonts w:cs="Arial"/>
          <w:b w:val="0"/>
          <w:bCs w:val="0"/>
          <w:sz w:val="28"/>
          <w:szCs w:val="28"/>
        </w:rPr>
      </w:pPr>
      <w:r w:rsidRPr="001D103D">
        <w:rPr>
          <w:rFonts w:cs="Arial"/>
          <w:b w:val="0"/>
          <w:bCs w:val="0"/>
          <w:sz w:val="28"/>
          <w:szCs w:val="28"/>
        </w:rPr>
        <w:t>Special mechanisms</w:t>
      </w:r>
    </w:p>
    <w:p w14:paraId="4412E524" w14:textId="37A0D6B3" w:rsidR="007821BC" w:rsidRPr="00766CE4" w:rsidRDefault="00694501" w:rsidP="00A324D3">
      <w:pPr>
        <w:spacing w:after="240"/>
        <w:ind w:left="567"/>
        <w:jc w:val="both"/>
        <w:rPr>
          <w:rFonts w:eastAsiaTheme="minorHAnsi"/>
          <w:sz w:val="24"/>
          <w:szCs w:val="24"/>
          <w:lang w:eastAsia="en-US"/>
        </w:rPr>
      </w:pPr>
      <w:r w:rsidRPr="00766CE4">
        <w:rPr>
          <w:sz w:val="24"/>
          <w:szCs w:val="24"/>
        </w:rPr>
        <w:t>In recognition of the fact that environmentally or socially preferable options sometimes come at a premium, and yet may offer superior Value for Money, there are two operational mechanisms designed to empower staff and managers to implement the preference of environmentally responsible products and services.</w:t>
      </w:r>
    </w:p>
    <w:p w14:paraId="6D22701D" w14:textId="3067EB8C" w:rsidR="00694501" w:rsidRPr="00766CE4" w:rsidRDefault="00694501" w:rsidP="00195790">
      <w:pPr>
        <w:pStyle w:val="ListParagraph"/>
        <w:numPr>
          <w:ilvl w:val="0"/>
          <w:numId w:val="20"/>
        </w:numPr>
        <w:ind w:hanging="294"/>
        <w:rPr>
          <w:rFonts w:cs="Arial"/>
          <w:b/>
          <w:bCs/>
          <w:sz w:val="24"/>
          <w:szCs w:val="24"/>
        </w:rPr>
      </w:pPr>
      <w:r w:rsidRPr="00766CE4">
        <w:rPr>
          <w:rFonts w:cs="Arial"/>
          <w:b/>
          <w:bCs/>
          <w:sz w:val="24"/>
          <w:szCs w:val="24"/>
        </w:rPr>
        <w:t xml:space="preserve">The 10% Price Preference </w:t>
      </w:r>
    </w:p>
    <w:p w14:paraId="0575DAD8" w14:textId="78FF9D7A" w:rsidR="002E3358" w:rsidRPr="00766CE4" w:rsidRDefault="00694501" w:rsidP="00A324D3">
      <w:pPr>
        <w:spacing w:after="240"/>
        <w:ind w:left="567"/>
        <w:jc w:val="both"/>
        <w:rPr>
          <w:sz w:val="24"/>
          <w:szCs w:val="24"/>
        </w:rPr>
      </w:pPr>
      <w:r w:rsidRPr="00766CE4">
        <w:rPr>
          <w:sz w:val="24"/>
          <w:szCs w:val="24"/>
        </w:rPr>
        <w:t xml:space="preserve">Whenever a product or service presents as the most environmentally preferable option and is significantly better than the other tender submissions in terms of environmental impact, staff are empowered to apply a price preference up to 10% to these options. This means that when weighing up the Value for Money of different options, staff could consider the most environmentally or socially preferable option(s) to be up to 10% less than the quoted purchase price. </w:t>
      </w:r>
    </w:p>
    <w:p w14:paraId="5F769700" w14:textId="493F0C14" w:rsidR="002A7C89" w:rsidRPr="00766CE4" w:rsidRDefault="00694501" w:rsidP="009B37D6">
      <w:pPr>
        <w:spacing w:after="240"/>
        <w:ind w:left="567"/>
        <w:jc w:val="both"/>
        <w:rPr>
          <w:sz w:val="24"/>
          <w:szCs w:val="24"/>
        </w:rPr>
      </w:pPr>
      <w:r w:rsidRPr="00766CE4">
        <w:rPr>
          <w:sz w:val="24"/>
          <w:szCs w:val="24"/>
        </w:rPr>
        <w:t xml:space="preserve">Note that after applying the price preference, if the most environmentally or socially preferable option is still more expensive it can and must be selected only if it provides the best overall Value for Money.   </w:t>
      </w:r>
    </w:p>
    <w:p w14:paraId="5489AE3B" w14:textId="77777777" w:rsidR="00694501" w:rsidRPr="00766CE4" w:rsidRDefault="00694501" w:rsidP="00195790">
      <w:pPr>
        <w:pStyle w:val="ListParagraph"/>
        <w:numPr>
          <w:ilvl w:val="0"/>
          <w:numId w:val="20"/>
        </w:numPr>
        <w:ind w:hanging="294"/>
        <w:rPr>
          <w:rFonts w:cs="Arial"/>
          <w:b/>
          <w:bCs/>
          <w:sz w:val="24"/>
          <w:szCs w:val="24"/>
        </w:rPr>
      </w:pPr>
      <w:r w:rsidRPr="00766CE4">
        <w:rPr>
          <w:rFonts w:cs="Arial"/>
          <w:b/>
          <w:bCs/>
          <w:sz w:val="24"/>
          <w:szCs w:val="24"/>
        </w:rPr>
        <w:t xml:space="preserve">The 10% Sustainability Weighting  </w:t>
      </w:r>
    </w:p>
    <w:p w14:paraId="1CA07864" w14:textId="5D70E0F0" w:rsidR="00CB13AE" w:rsidRPr="00766CE4" w:rsidRDefault="00694501" w:rsidP="00A324D3">
      <w:pPr>
        <w:spacing w:after="240"/>
        <w:ind w:left="567"/>
        <w:jc w:val="both"/>
        <w:rPr>
          <w:sz w:val="24"/>
          <w:szCs w:val="24"/>
        </w:rPr>
      </w:pPr>
      <w:r w:rsidRPr="00766CE4">
        <w:rPr>
          <w:sz w:val="24"/>
          <w:szCs w:val="24"/>
        </w:rPr>
        <w:t>When developing assessment criteria for contracts and tenders, sustainability will be included as one of the criteria and it’s weighting will be at least 10%. If there is a reason why this is not applicable or workable, or does not provide sufficient Value for Money, this should be detailed in the tender report or Quotation Acceptance Form.</w:t>
      </w:r>
    </w:p>
    <w:p w14:paraId="689D3A1E" w14:textId="77777777" w:rsidR="00694501" w:rsidRPr="001D103D" w:rsidRDefault="00694501" w:rsidP="009F1E3B">
      <w:pPr>
        <w:pStyle w:val="proc1"/>
        <w:numPr>
          <w:ilvl w:val="1"/>
          <w:numId w:val="11"/>
        </w:numPr>
        <w:rPr>
          <w:sz w:val="28"/>
          <w:szCs w:val="28"/>
        </w:rPr>
      </w:pPr>
      <w:bookmarkStart w:id="1360" w:name="_Toc227674636"/>
      <w:bookmarkStart w:id="1361" w:name="_Toc227674773"/>
      <w:bookmarkStart w:id="1362" w:name="_Toc227674908"/>
      <w:bookmarkStart w:id="1363" w:name="_Toc227675045"/>
      <w:bookmarkStart w:id="1364" w:name="_Toc227675182"/>
      <w:bookmarkStart w:id="1365" w:name="_Toc227675319"/>
      <w:bookmarkStart w:id="1366" w:name="_Toc227675456"/>
      <w:bookmarkStart w:id="1367" w:name="_Toc227675593"/>
      <w:bookmarkStart w:id="1368" w:name="_Toc227675731"/>
      <w:bookmarkStart w:id="1369" w:name="_Toc227675865"/>
      <w:bookmarkStart w:id="1370" w:name="_Toc227675990"/>
      <w:bookmarkStart w:id="1371" w:name="_Toc84884807"/>
      <w:bookmarkStart w:id="1372" w:name="_Toc85461593"/>
      <w:bookmarkStart w:id="1373" w:name="_Toc240536480"/>
      <w:bookmarkEnd w:id="1360"/>
      <w:bookmarkEnd w:id="1361"/>
      <w:bookmarkEnd w:id="1362"/>
      <w:bookmarkEnd w:id="1363"/>
      <w:bookmarkEnd w:id="1364"/>
      <w:bookmarkEnd w:id="1365"/>
      <w:bookmarkEnd w:id="1366"/>
      <w:bookmarkEnd w:id="1367"/>
      <w:bookmarkEnd w:id="1368"/>
      <w:bookmarkEnd w:id="1369"/>
      <w:bookmarkEnd w:id="1370"/>
      <w:r w:rsidRPr="001D103D">
        <w:rPr>
          <w:sz w:val="28"/>
          <w:szCs w:val="28"/>
        </w:rPr>
        <w:t>Social Procurement</w:t>
      </w:r>
      <w:bookmarkEnd w:id="1371"/>
      <w:bookmarkEnd w:id="1372"/>
      <w:bookmarkEnd w:id="1373"/>
    </w:p>
    <w:p w14:paraId="7AEF012F" w14:textId="77777777" w:rsidR="00F85033" w:rsidRPr="00766CE4" w:rsidRDefault="00874841" w:rsidP="00A324D3">
      <w:pPr>
        <w:spacing w:after="240"/>
        <w:ind w:left="425"/>
        <w:jc w:val="both"/>
        <w:rPr>
          <w:sz w:val="24"/>
          <w:szCs w:val="24"/>
        </w:rPr>
      </w:pPr>
      <w:r w:rsidRPr="00766CE4">
        <w:rPr>
          <w:sz w:val="24"/>
          <w:szCs w:val="24"/>
        </w:rPr>
        <w:t>Council is committed to social procurement as a means of generating positive social and economic outcomes for the community. Social procurement considerations will be embedded in Council's procurement planning and evaluation processes. Council may pursue social procurement outcomes through tender evaluation criteria, revision of expiring contract arrangements, and by encouraging suppliers to engage social enterprises in their supply chains.</w:t>
      </w:r>
      <w:r w:rsidR="00183D1E" w:rsidRPr="00766CE4">
        <w:rPr>
          <w:sz w:val="24"/>
          <w:szCs w:val="24"/>
        </w:rPr>
        <w:t xml:space="preserve"> </w:t>
      </w:r>
      <w:r w:rsidR="00BE0BD7" w:rsidRPr="00766CE4">
        <w:rPr>
          <w:sz w:val="24"/>
          <w:szCs w:val="24"/>
        </w:rPr>
        <w:t>Social Enterprises are further explained in section 8.5</w:t>
      </w:r>
      <w:r w:rsidRPr="00766CE4">
        <w:rPr>
          <w:sz w:val="24"/>
          <w:szCs w:val="24"/>
        </w:rPr>
        <w:t>.</w:t>
      </w:r>
    </w:p>
    <w:p w14:paraId="52425DB8" w14:textId="1F97C94F" w:rsidR="00183D1E" w:rsidRPr="00766CE4" w:rsidRDefault="00F85033" w:rsidP="00A324D3">
      <w:pPr>
        <w:spacing w:after="240"/>
        <w:ind w:left="425"/>
        <w:jc w:val="both"/>
        <w:rPr>
          <w:sz w:val="24"/>
          <w:szCs w:val="24"/>
        </w:rPr>
      </w:pPr>
      <w:r w:rsidRPr="00766CE4">
        <w:rPr>
          <w:sz w:val="24"/>
          <w:szCs w:val="24"/>
        </w:rPr>
        <w:t>Council expects all suppliers to conduct their business ethically and in a manner consistent with Council's values. Suppliers are expected to comply with all applicable human rights, anti-discrimination, employment and work health and safety laws, to treat their workers and the community fairly and with respect, and to uphold these standards throughout their supply chains. Council may require suppliers to acknowledge and comply with a Supplier Code of Conduct as a condition of contracting with Council.</w:t>
      </w:r>
    </w:p>
    <w:p w14:paraId="3A7AB998" w14:textId="77777777" w:rsidR="00694501" w:rsidRPr="001D103D" w:rsidRDefault="00694501" w:rsidP="009F1E3B">
      <w:pPr>
        <w:pStyle w:val="proc1"/>
        <w:numPr>
          <w:ilvl w:val="1"/>
          <w:numId w:val="11"/>
        </w:numPr>
        <w:rPr>
          <w:sz w:val="28"/>
          <w:szCs w:val="28"/>
        </w:rPr>
      </w:pPr>
      <w:bookmarkStart w:id="1374" w:name="_Toc84884808"/>
      <w:bookmarkStart w:id="1375" w:name="_Toc85461594"/>
      <w:bookmarkStart w:id="1376" w:name="_Toc240536481"/>
      <w:r w:rsidRPr="001D103D">
        <w:rPr>
          <w:sz w:val="28"/>
          <w:szCs w:val="28"/>
        </w:rPr>
        <w:t>Support of Local Business and Industry</w:t>
      </w:r>
      <w:bookmarkEnd w:id="1374"/>
      <w:bookmarkEnd w:id="1375"/>
      <w:bookmarkEnd w:id="1376"/>
    </w:p>
    <w:p w14:paraId="4EAE39E9" w14:textId="3799242B" w:rsidR="00694501" w:rsidRPr="00766CE4" w:rsidRDefault="00694501" w:rsidP="00A324D3">
      <w:pPr>
        <w:spacing w:after="240"/>
        <w:ind w:left="425"/>
        <w:jc w:val="both"/>
        <w:rPr>
          <w:sz w:val="24"/>
          <w:szCs w:val="24"/>
        </w:rPr>
      </w:pPr>
      <w:r w:rsidRPr="00766CE4">
        <w:rPr>
          <w:sz w:val="24"/>
          <w:szCs w:val="24"/>
        </w:rPr>
        <w:t>Council recognises the need to support the local economy. Council will use its procurement spend to support local and regional economic activity through a tiered local preference model. For procurement evaluation purposes, Council may recognise different levels of local contribution:</w:t>
      </w:r>
    </w:p>
    <w:p w14:paraId="0CF087B9" w14:textId="77777777" w:rsidR="00694501" w:rsidRPr="00766CE4" w:rsidRDefault="00694501" w:rsidP="009C1471">
      <w:pPr>
        <w:pStyle w:val="ListParagraph"/>
        <w:numPr>
          <w:ilvl w:val="0"/>
          <w:numId w:val="22"/>
        </w:numPr>
        <w:tabs>
          <w:tab w:val="left" w:pos="993"/>
          <w:tab w:val="left" w:pos="1418"/>
          <w:tab w:val="left" w:pos="1701"/>
        </w:tabs>
        <w:autoSpaceDE w:val="0"/>
        <w:autoSpaceDN w:val="0"/>
        <w:adjustRightInd w:val="0"/>
        <w:spacing w:after="0" w:line="240" w:lineRule="auto"/>
        <w:ind w:left="993" w:hanging="284"/>
        <w:jc w:val="both"/>
        <w:rPr>
          <w:rFonts w:cs="Arial"/>
          <w:sz w:val="24"/>
          <w:szCs w:val="24"/>
        </w:rPr>
      </w:pPr>
      <w:r w:rsidRPr="00766CE4">
        <w:rPr>
          <w:rFonts w:cs="Arial"/>
          <w:b/>
          <w:bCs/>
          <w:sz w:val="24"/>
          <w:szCs w:val="24"/>
        </w:rPr>
        <w:t>Tier 1 – Local business:</w:t>
      </w:r>
      <w:r w:rsidRPr="00766CE4">
        <w:rPr>
          <w:rFonts w:cs="Arial"/>
          <w:sz w:val="24"/>
          <w:szCs w:val="24"/>
        </w:rPr>
        <w:t xml:space="preserve"> Primary place of business located within the municipality. Preference weighting: 10%.</w:t>
      </w:r>
    </w:p>
    <w:p w14:paraId="7BFC5C0C" w14:textId="77777777" w:rsidR="009C1471" w:rsidRPr="00766CE4" w:rsidRDefault="009C1471" w:rsidP="00A324D3">
      <w:pPr>
        <w:pStyle w:val="ListParagraph"/>
        <w:tabs>
          <w:tab w:val="left" w:pos="993"/>
          <w:tab w:val="left" w:pos="1418"/>
          <w:tab w:val="left" w:pos="1701"/>
        </w:tabs>
        <w:autoSpaceDE w:val="0"/>
        <w:autoSpaceDN w:val="0"/>
        <w:adjustRightInd w:val="0"/>
        <w:spacing w:after="0" w:line="240" w:lineRule="auto"/>
        <w:ind w:left="993"/>
        <w:jc w:val="both"/>
        <w:rPr>
          <w:rFonts w:cs="Arial"/>
          <w:sz w:val="24"/>
          <w:szCs w:val="24"/>
        </w:rPr>
      </w:pPr>
    </w:p>
    <w:p w14:paraId="02938327" w14:textId="77777777" w:rsidR="00694501" w:rsidRPr="00766CE4" w:rsidRDefault="00694501" w:rsidP="009C1471">
      <w:pPr>
        <w:pStyle w:val="ListParagraph"/>
        <w:numPr>
          <w:ilvl w:val="0"/>
          <w:numId w:val="22"/>
        </w:numPr>
        <w:spacing w:after="0" w:line="240" w:lineRule="auto"/>
        <w:ind w:left="993" w:hanging="284"/>
        <w:jc w:val="both"/>
        <w:rPr>
          <w:rFonts w:cs="Arial"/>
          <w:sz w:val="24"/>
          <w:szCs w:val="24"/>
        </w:rPr>
      </w:pPr>
      <w:r w:rsidRPr="00766CE4">
        <w:rPr>
          <w:rFonts w:cs="Arial"/>
          <w:b/>
          <w:bCs/>
          <w:sz w:val="24"/>
          <w:szCs w:val="24"/>
        </w:rPr>
        <w:t>Tier 2 – Regional business:</w:t>
      </w:r>
      <w:r w:rsidRPr="00766CE4">
        <w:rPr>
          <w:rFonts w:cs="Arial"/>
          <w:sz w:val="24"/>
          <w:szCs w:val="24"/>
        </w:rPr>
        <w:t xml:space="preserve"> Primary place of business within the M9 area (Cities of Yarra, Melbourne, Port Phillip, Stonnington and Maribyrnong). Preference weighting: 7%.</w:t>
      </w:r>
    </w:p>
    <w:p w14:paraId="6962EE55" w14:textId="77777777" w:rsidR="009C1471" w:rsidRPr="00766CE4" w:rsidRDefault="009C1471" w:rsidP="00A324D3">
      <w:pPr>
        <w:spacing w:after="0" w:line="240" w:lineRule="auto"/>
        <w:jc w:val="both"/>
        <w:rPr>
          <w:sz w:val="24"/>
          <w:szCs w:val="24"/>
        </w:rPr>
      </w:pPr>
    </w:p>
    <w:p w14:paraId="02938328" w14:textId="77777777" w:rsidR="00694501" w:rsidRPr="00766CE4" w:rsidRDefault="00694501" w:rsidP="00A324D3">
      <w:pPr>
        <w:pStyle w:val="ListParagraph"/>
        <w:numPr>
          <w:ilvl w:val="0"/>
          <w:numId w:val="22"/>
        </w:numPr>
        <w:spacing w:after="0" w:line="240" w:lineRule="auto"/>
        <w:ind w:left="993" w:hanging="284"/>
        <w:jc w:val="both"/>
        <w:rPr>
          <w:rFonts w:cs="Arial"/>
          <w:sz w:val="24"/>
          <w:szCs w:val="24"/>
        </w:rPr>
      </w:pPr>
      <w:r w:rsidRPr="00766CE4">
        <w:rPr>
          <w:rFonts w:cs="Arial"/>
          <w:b/>
          <w:bCs/>
          <w:sz w:val="24"/>
          <w:szCs w:val="24"/>
        </w:rPr>
        <w:t>Tier 3 – Demonstrated local economic contribution:</w:t>
      </w:r>
      <w:r w:rsidRPr="00766CE4">
        <w:rPr>
          <w:rFonts w:cs="Arial"/>
          <w:sz w:val="24"/>
          <w:szCs w:val="24"/>
        </w:rPr>
        <w:t xml:space="preserve"> Businesses located outside the M9 area that make a documented commitment to local employment or subcontracting in the Yarra area as part of the contract. Preference weighting: 5%.</w:t>
      </w:r>
    </w:p>
    <w:p w14:paraId="701B1275" w14:textId="77777777" w:rsidR="00694501" w:rsidRPr="00766CE4" w:rsidRDefault="00694501" w:rsidP="00694501">
      <w:pPr>
        <w:tabs>
          <w:tab w:val="left" w:pos="993"/>
        </w:tabs>
        <w:spacing w:after="0"/>
        <w:jc w:val="both"/>
        <w:rPr>
          <w:b/>
          <w:i/>
          <w:sz w:val="24"/>
          <w:szCs w:val="24"/>
        </w:rPr>
      </w:pPr>
    </w:p>
    <w:p w14:paraId="59A0018C" w14:textId="4BC981D0" w:rsidR="00694501" w:rsidRPr="00766CE4" w:rsidRDefault="00694501" w:rsidP="00694501">
      <w:pPr>
        <w:tabs>
          <w:tab w:val="left" w:pos="993"/>
        </w:tabs>
        <w:ind w:left="426"/>
        <w:rPr>
          <w:sz w:val="24"/>
          <w:szCs w:val="24"/>
        </w:rPr>
      </w:pPr>
      <w:r w:rsidRPr="00766CE4">
        <w:rPr>
          <w:sz w:val="24"/>
          <w:szCs w:val="24"/>
        </w:rPr>
        <w:t>Local preference weightings must be applied consistently with the evaluation criteria set out in tender documents and are not to be applied cumulatively with other preferences in a manner that undermines competitive neutrality. Council will maintain a register of local suppliers to assist officers in identifying and engaging local businesses. Detailed guidance on applying the tiered local preference model is set out in the Procurement Manual.</w:t>
      </w:r>
    </w:p>
    <w:p w14:paraId="6A68501E" w14:textId="77777777" w:rsidR="00694501" w:rsidRPr="001D103D" w:rsidRDefault="00694501" w:rsidP="009F1E3B">
      <w:pPr>
        <w:pStyle w:val="proc1"/>
        <w:numPr>
          <w:ilvl w:val="1"/>
          <w:numId w:val="11"/>
        </w:numPr>
        <w:rPr>
          <w:sz w:val="28"/>
          <w:szCs w:val="28"/>
        </w:rPr>
      </w:pPr>
      <w:bookmarkStart w:id="1377" w:name="_Toc84884809"/>
      <w:bookmarkStart w:id="1378" w:name="_Toc85461595"/>
      <w:bookmarkStart w:id="1379" w:name="_Toc240536482"/>
      <w:bookmarkStart w:id="1380" w:name="_Hlk73519535"/>
      <w:r w:rsidRPr="001D103D">
        <w:rPr>
          <w:sz w:val="28"/>
          <w:szCs w:val="28"/>
        </w:rPr>
        <w:t>Support for Indigenous businesses</w:t>
      </w:r>
      <w:bookmarkEnd w:id="1377"/>
      <w:bookmarkEnd w:id="1378"/>
      <w:bookmarkEnd w:id="1379"/>
    </w:p>
    <w:p w14:paraId="0FF46DB1" w14:textId="77777777" w:rsidR="00424A1B" w:rsidRPr="00766CE4" w:rsidRDefault="00424A1B" w:rsidP="00424A1B">
      <w:pPr>
        <w:spacing w:after="240"/>
        <w:ind w:left="425"/>
        <w:jc w:val="both"/>
        <w:rPr>
          <w:sz w:val="24"/>
          <w:szCs w:val="24"/>
        </w:rPr>
      </w:pPr>
      <w:r w:rsidRPr="00766CE4">
        <w:rPr>
          <w:sz w:val="24"/>
          <w:szCs w:val="24"/>
        </w:rPr>
        <w:t>Yarra City Council recognises the Wurundjeri Woi Wurrung people as the Traditional Owners of the land on which the City of Yarra is located and acknowledges the ongoing cultural, social and economic contributions of First Peoples communities to Yarra.</w:t>
      </w:r>
    </w:p>
    <w:p w14:paraId="2F20DE2B" w14:textId="77777777" w:rsidR="00424A1B" w:rsidRPr="00766CE4" w:rsidRDefault="00424A1B" w:rsidP="00424A1B">
      <w:pPr>
        <w:spacing w:after="240"/>
        <w:ind w:left="425"/>
        <w:jc w:val="both"/>
        <w:rPr>
          <w:sz w:val="24"/>
          <w:szCs w:val="24"/>
        </w:rPr>
      </w:pPr>
      <w:r w:rsidRPr="00766CE4">
        <w:rPr>
          <w:sz w:val="24"/>
          <w:szCs w:val="24"/>
        </w:rPr>
        <w:t>Council is committed to supporting economic participation and self</w:t>
      </w:r>
      <w:r w:rsidRPr="00766CE4">
        <w:rPr>
          <w:rFonts w:ascii="Cambria Math" w:hAnsi="Cambria Math" w:cs="Cambria Math"/>
          <w:sz w:val="24"/>
          <w:szCs w:val="24"/>
        </w:rPr>
        <w:t>‑</w:t>
      </w:r>
      <w:r w:rsidRPr="00766CE4">
        <w:rPr>
          <w:sz w:val="24"/>
          <w:szCs w:val="24"/>
        </w:rPr>
        <w:t>determination for First Peoples through its procurement activities. This includes working to improve access for First Peoples</w:t>
      </w:r>
      <w:r w:rsidRPr="00766CE4">
        <w:rPr>
          <w:rFonts w:ascii="Cambria Math" w:hAnsi="Cambria Math" w:cs="Cambria Math"/>
          <w:sz w:val="24"/>
          <w:szCs w:val="24"/>
        </w:rPr>
        <w:t>‑</w:t>
      </w:r>
      <w:r w:rsidRPr="00766CE4">
        <w:rPr>
          <w:sz w:val="24"/>
          <w:szCs w:val="24"/>
        </w:rPr>
        <w:t>owned businesses to Council procurement opportunities, where this represents value for money and is consistent with legislative and probity requirements.</w:t>
      </w:r>
    </w:p>
    <w:p w14:paraId="1AF7DA4F" w14:textId="77777777" w:rsidR="00424A1B" w:rsidRPr="00766CE4" w:rsidRDefault="00424A1B" w:rsidP="00424A1B">
      <w:pPr>
        <w:spacing w:after="240"/>
        <w:ind w:left="425"/>
        <w:jc w:val="both"/>
        <w:rPr>
          <w:sz w:val="24"/>
          <w:szCs w:val="24"/>
        </w:rPr>
      </w:pPr>
      <w:r w:rsidRPr="00766CE4">
        <w:rPr>
          <w:sz w:val="24"/>
          <w:szCs w:val="24"/>
        </w:rPr>
        <w:t>Council will seek, where appropriate, to identify opportunities for First Peoples businesses to participate in the delivery of goods, services and works to Council. This may include direct contracting, subcontracting, or supply</w:t>
      </w:r>
      <w:r w:rsidRPr="00766CE4">
        <w:rPr>
          <w:rFonts w:ascii="Cambria Math" w:hAnsi="Cambria Math" w:cs="Cambria Math"/>
          <w:sz w:val="24"/>
          <w:szCs w:val="24"/>
        </w:rPr>
        <w:t>‑</w:t>
      </w:r>
      <w:r w:rsidRPr="00766CE4">
        <w:rPr>
          <w:sz w:val="24"/>
          <w:szCs w:val="24"/>
        </w:rPr>
        <w:t>chain participation, as well as employment and skills</w:t>
      </w:r>
      <w:r w:rsidRPr="00766CE4">
        <w:rPr>
          <w:rFonts w:ascii="Cambria Math" w:hAnsi="Cambria Math" w:cs="Cambria Math"/>
          <w:sz w:val="24"/>
          <w:szCs w:val="24"/>
        </w:rPr>
        <w:t>‑</w:t>
      </w:r>
      <w:r w:rsidRPr="00766CE4">
        <w:rPr>
          <w:sz w:val="24"/>
          <w:szCs w:val="24"/>
        </w:rPr>
        <w:t>development outcomes delivered through Council contracts.</w:t>
      </w:r>
    </w:p>
    <w:p w14:paraId="317ED580" w14:textId="77777777" w:rsidR="00424A1B" w:rsidRPr="00766CE4" w:rsidRDefault="00424A1B" w:rsidP="00424A1B">
      <w:pPr>
        <w:spacing w:after="240"/>
        <w:ind w:left="425"/>
        <w:jc w:val="both"/>
        <w:rPr>
          <w:sz w:val="24"/>
          <w:szCs w:val="24"/>
        </w:rPr>
      </w:pPr>
      <w:r w:rsidRPr="00766CE4">
        <w:rPr>
          <w:sz w:val="24"/>
          <w:szCs w:val="24"/>
        </w:rPr>
        <w:t>To support this commitment, Council maintains membership of recognised First Peoples business directories, including Supply Nation, to assist officers to identify suitably qualified First Peoples businesses and engage with the market in a fair, transparent and informed manner.</w:t>
      </w:r>
    </w:p>
    <w:p w14:paraId="576787BA" w14:textId="69D1704E" w:rsidR="00424A1B" w:rsidRPr="00766CE4" w:rsidRDefault="00424A1B" w:rsidP="00424A1B">
      <w:pPr>
        <w:spacing w:after="240"/>
        <w:ind w:left="425"/>
        <w:jc w:val="both"/>
        <w:rPr>
          <w:sz w:val="24"/>
          <w:szCs w:val="24"/>
        </w:rPr>
      </w:pPr>
      <w:r w:rsidRPr="00766CE4">
        <w:rPr>
          <w:sz w:val="24"/>
          <w:szCs w:val="24"/>
        </w:rPr>
        <w:t>These commitments are implemented in a way that is proportionate, transparent and consistent with Council’s Procurement Principles, and form part of Council’s broader approach to social procurement and community benefit.</w:t>
      </w:r>
    </w:p>
    <w:p w14:paraId="669A3E6B" w14:textId="77777777" w:rsidR="00694501" w:rsidRPr="001D103D" w:rsidRDefault="00694501" w:rsidP="009F1E3B">
      <w:pPr>
        <w:pStyle w:val="proc1"/>
        <w:numPr>
          <w:ilvl w:val="1"/>
          <w:numId w:val="11"/>
        </w:numPr>
        <w:rPr>
          <w:sz w:val="28"/>
          <w:szCs w:val="28"/>
        </w:rPr>
      </w:pPr>
      <w:bookmarkStart w:id="1381" w:name="_Toc227674640"/>
      <w:bookmarkStart w:id="1382" w:name="_Toc227674777"/>
      <w:bookmarkStart w:id="1383" w:name="_Toc227674912"/>
      <w:bookmarkStart w:id="1384" w:name="_Toc227675049"/>
      <w:bookmarkStart w:id="1385" w:name="_Toc227675186"/>
      <w:bookmarkStart w:id="1386" w:name="_Toc227675323"/>
      <w:bookmarkStart w:id="1387" w:name="_Toc227675460"/>
      <w:bookmarkStart w:id="1388" w:name="_Toc227675597"/>
      <w:bookmarkStart w:id="1389" w:name="_Toc227675735"/>
      <w:bookmarkStart w:id="1390" w:name="_Toc227675869"/>
      <w:bookmarkStart w:id="1391" w:name="_Toc227675994"/>
      <w:bookmarkStart w:id="1392" w:name="_Toc227674641"/>
      <w:bookmarkStart w:id="1393" w:name="_Toc227674778"/>
      <w:bookmarkStart w:id="1394" w:name="_Toc227674913"/>
      <w:bookmarkStart w:id="1395" w:name="_Toc227675050"/>
      <w:bookmarkStart w:id="1396" w:name="_Toc227675187"/>
      <w:bookmarkStart w:id="1397" w:name="_Toc227675324"/>
      <w:bookmarkStart w:id="1398" w:name="_Toc227675461"/>
      <w:bookmarkStart w:id="1399" w:name="_Toc227675598"/>
      <w:bookmarkStart w:id="1400" w:name="_Toc227675736"/>
      <w:bookmarkStart w:id="1401" w:name="_Toc227675870"/>
      <w:bookmarkStart w:id="1402" w:name="_Toc227675995"/>
      <w:bookmarkStart w:id="1403" w:name="_Toc84884810"/>
      <w:bookmarkStart w:id="1404" w:name="_Toc85461596"/>
      <w:bookmarkStart w:id="1405" w:name="_Toc240536483"/>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r w:rsidRPr="001D103D">
        <w:rPr>
          <w:sz w:val="28"/>
          <w:szCs w:val="28"/>
        </w:rPr>
        <w:t>Social Enterprise</w:t>
      </w:r>
      <w:bookmarkEnd w:id="1403"/>
      <w:bookmarkEnd w:id="1404"/>
      <w:bookmarkEnd w:id="1405"/>
    </w:p>
    <w:p w14:paraId="465976A6" w14:textId="77777777" w:rsidR="00694501" w:rsidRPr="00766CE4" w:rsidRDefault="00694501" w:rsidP="00A324D3">
      <w:pPr>
        <w:tabs>
          <w:tab w:val="left" w:pos="993"/>
        </w:tabs>
        <w:ind w:left="426"/>
        <w:rPr>
          <w:sz w:val="24"/>
          <w:szCs w:val="24"/>
        </w:rPr>
      </w:pPr>
      <w:r w:rsidRPr="00766CE4">
        <w:rPr>
          <w:sz w:val="24"/>
          <w:szCs w:val="24"/>
        </w:rPr>
        <w:t>Social Enterprises can be described as organisations that:</w:t>
      </w:r>
    </w:p>
    <w:p w14:paraId="712987BB" w14:textId="77777777" w:rsidR="00694501" w:rsidRPr="00766CE4" w:rsidRDefault="00694501" w:rsidP="00A324D3">
      <w:pPr>
        <w:pStyle w:val="ListParagraph"/>
        <w:numPr>
          <w:ilvl w:val="0"/>
          <w:numId w:val="125"/>
        </w:numPr>
        <w:rPr>
          <w:rFonts w:cs="Arial"/>
          <w:sz w:val="24"/>
          <w:szCs w:val="24"/>
        </w:rPr>
      </w:pPr>
      <w:r w:rsidRPr="00766CE4">
        <w:rPr>
          <w:rFonts w:cs="Arial"/>
          <w:sz w:val="24"/>
          <w:szCs w:val="24"/>
        </w:rPr>
        <w:t>Are led by an economic, social, cultural, or environmental mission consistent with public or community benefit;</w:t>
      </w:r>
    </w:p>
    <w:p w14:paraId="6149116F" w14:textId="77777777" w:rsidR="00694501" w:rsidRPr="00766CE4" w:rsidRDefault="00694501" w:rsidP="00A324D3">
      <w:pPr>
        <w:pStyle w:val="ListParagraph"/>
        <w:numPr>
          <w:ilvl w:val="0"/>
          <w:numId w:val="125"/>
        </w:numPr>
        <w:rPr>
          <w:rFonts w:cs="Arial"/>
          <w:sz w:val="24"/>
          <w:szCs w:val="24"/>
        </w:rPr>
      </w:pPr>
      <w:r w:rsidRPr="00766CE4">
        <w:rPr>
          <w:rFonts w:cs="Arial"/>
          <w:sz w:val="24"/>
          <w:szCs w:val="24"/>
        </w:rPr>
        <w:t>Trade to fulfil their mission;</w:t>
      </w:r>
    </w:p>
    <w:p w14:paraId="4B2EBCF2" w14:textId="77777777" w:rsidR="00694501" w:rsidRPr="00766CE4" w:rsidRDefault="00694501" w:rsidP="00A324D3">
      <w:pPr>
        <w:pStyle w:val="ListParagraph"/>
        <w:numPr>
          <w:ilvl w:val="0"/>
          <w:numId w:val="125"/>
        </w:numPr>
        <w:rPr>
          <w:rFonts w:cs="Arial"/>
          <w:sz w:val="24"/>
          <w:szCs w:val="24"/>
        </w:rPr>
      </w:pPr>
      <w:r w:rsidRPr="00766CE4">
        <w:rPr>
          <w:rFonts w:cs="Arial"/>
          <w:sz w:val="24"/>
          <w:szCs w:val="24"/>
        </w:rPr>
        <w:t>Derive a substantial proportion of their income from trade; and</w:t>
      </w:r>
    </w:p>
    <w:p w14:paraId="5B135FC9" w14:textId="77777777" w:rsidR="00694501" w:rsidRPr="00766CE4" w:rsidRDefault="00694501" w:rsidP="00A324D3">
      <w:pPr>
        <w:pStyle w:val="ListParagraph"/>
        <w:numPr>
          <w:ilvl w:val="0"/>
          <w:numId w:val="125"/>
        </w:numPr>
        <w:rPr>
          <w:rFonts w:cs="Arial"/>
          <w:sz w:val="24"/>
          <w:szCs w:val="24"/>
        </w:rPr>
      </w:pPr>
      <w:r w:rsidRPr="00766CE4">
        <w:rPr>
          <w:rFonts w:cs="Arial"/>
          <w:sz w:val="24"/>
          <w:szCs w:val="24"/>
        </w:rPr>
        <w:t>Reinvest the majority of their profits in the fulfilment of their social mission.</w:t>
      </w:r>
    </w:p>
    <w:p w14:paraId="114E93FD" w14:textId="58806CCA" w:rsidR="00694501" w:rsidRPr="00766CE4" w:rsidRDefault="00694501" w:rsidP="00A324D3">
      <w:pPr>
        <w:tabs>
          <w:tab w:val="left" w:pos="993"/>
        </w:tabs>
        <w:spacing w:after="240"/>
        <w:ind w:left="425"/>
        <w:rPr>
          <w:sz w:val="24"/>
          <w:szCs w:val="24"/>
        </w:rPr>
      </w:pPr>
      <w:r w:rsidRPr="00766CE4">
        <w:rPr>
          <w:sz w:val="24"/>
          <w:szCs w:val="24"/>
        </w:rPr>
        <w:t>Council is a member of the Social Traders organisation which provides its experience and expertise in assisting with the advancement and escalation of engagement by Council with social enterprise organisations.</w:t>
      </w:r>
    </w:p>
    <w:p w14:paraId="0E900EF4" w14:textId="63A02F95" w:rsidR="00694501" w:rsidRPr="00766CE4" w:rsidRDefault="00694501" w:rsidP="00A324D3">
      <w:pPr>
        <w:tabs>
          <w:tab w:val="left" w:pos="993"/>
        </w:tabs>
        <w:spacing w:after="240"/>
        <w:ind w:left="425"/>
        <w:rPr>
          <w:sz w:val="24"/>
          <w:szCs w:val="24"/>
        </w:rPr>
      </w:pPr>
      <w:r w:rsidRPr="00766CE4">
        <w:rPr>
          <w:sz w:val="24"/>
          <w:szCs w:val="24"/>
        </w:rPr>
        <w:t>Their primary role is to create jobs for disadvantage persons through the use of social enterprises by enabling business and government buyers to procure from certified social enterprises.</w:t>
      </w:r>
    </w:p>
    <w:p w14:paraId="479A6967" w14:textId="77777777" w:rsidR="00694501" w:rsidRPr="001D103D" w:rsidRDefault="00694501" w:rsidP="009F1E3B">
      <w:pPr>
        <w:pStyle w:val="proc1"/>
        <w:numPr>
          <w:ilvl w:val="1"/>
          <w:numId w:val="11"/>
        </w:numPr>
        <w:rPr>
          <w:sz w:val="28"/>
          <w:szCs w:val="28"/>
        </w:rPr>
      </w:pPr>
      <w:bookmarkStart w:id="1406" w:name="_Toc85461597"/>
      <w:bookmarkStart w:id="1407" w:name="_Toc240536484"/>
      <w:r w:rsidRPr="001D103D">
        <w:rPr>
          <w:sz w:val="28"/>
          <w:szCs w:val="28"/>
        </w:rPr>
        <w:t>Buy Australian</w:t>
      </w:r>
      <w:bookmarkEnd w:id="1406"/>
      <w:bookmarkEnd w:id="1407"/>
    </w:p>
    <w:p w14:paraId="09CA6831" w14:textId="2575AB28" w:rsidR="00694501" w:rsidRPr="00766CE4" w:rsidRDefault="00694501" w:rsidP="00A324D3">
      <w:pPr>
        <w:tabs>
          <w:tab w:val="left" w:pos="993"/>
        </w:tabs>
        <w:spacing w:after="240"/>
        <w:ind w:left="425"/>
        <w:rPr>
          <w:sz w:val="24"/>
          <w:szCs w:val="24"/>
        </w:rPr>
      </w:pPr>
      <w:r w:rsidRPr="00766CE4">
        <w:rPr>
          <w:sz w:val="24"/>
          <w:szCs w:val="24"/>
        </w:rPr>
        <w:t>Council will give preference to goods, equipment, material or machinery manufactured in Australia and New Zealand whenever practicable. When contemplating any such acquisitions, council staff must consider Australian made products over similar products which have been manufactured overseas.  Where the price of an Australian brand is excessive compared with alternative brands, Council staff may purchase the alternative brand.</w:t>
      </w:r>
    </w:p>
    <w:p w14:paraId="350BD620" w14:textId="77777777" w:rsidR="00694501" w:rsidRPr="001D103D" w:rsidRDefault="00694501" w:rsidP="009F1E3B">
      <w:pPr>
        <w:pStyle w:val="proc1"/>
        <w:numPr>
          <w:ilvl w:val="1"/>
          <w:numId w:val="11"/>
        </w:numPr>
        <w:rPr>
          <w:sz w:val="28"/>
          <w:szCs w:val="28"/>
        </w:rPr>
      </w:pPr>
      <w:bookmarkStart w:id="1408" w:name="_Toc85461598"/>
      <w:bookmarkStart w:id="1409" w:name="_Toc240536485"/>
      <w:r w:rsidRPr="001D103D">
        <w:rPr>
          <w:sz w:val="28"/>
          <w:szCs w:val="28"/>
        </w:rPr>
        <w:t>Ethical Standards for the Acquisition of Textiles, Clothing and Footwear</w:t>
      </w:r>
      <w:bookmarkEnd w:id="1408"/>
      <w:bookmarkEnd w:id="1409"/>
    </w:p>
    <w:p w14:paraId="40E841EC" w14:textId="77777777" w:rsidR="00272C26" w:rsidRPr="00766CE4" w:rsidRDefault="00272C26" w:rsidP="00A324D3">
      <w:pPr>
        <w:tabs>
          <w:tab w:val="left" w:pos="993"/>
        </w:tabs>
        <w:spacing w:after="240"/>
        <w:ind w:left="425"/>
        <w:rPr>
          <w:sz w:val="24"/>
          <w:szCs w:val="24"/>
        </w:rPr>
      </w:pPr>
      <w:r w:rsidRPr="00766CE4">
        <w:rPr>
          <w:sz w:val="24"/>
          <w:szCs w:val="24"/>
        </w:rPr>
        <w:t>Council is committed to ethical procurement of textiles, clothing and footwear (TCF). All TCF suppliers must demonstrate compliance with the Fair Work Act 2009 and the Fair Work Amendment (Textiles, Clothing &amp; Footwear Industry) Act 2012, including in respect of their supply chains. Council supports the principles of Ethical Clothing Australia in maintaining transparent, accountable and lawful supply chains</w:t>
      </w:r>
    </w:p>
    <w:p w14:paraId="129BE00D" w14:textId="775DF618" w:rsidR="00694501" w:rsidRPr="005F6A36" w:rsidRDefault="00694501" w:rsidP="009F1E3B">
      <w:pPr>
        <w:pStyle w:val="Heading1"/>
        <w:keepLines/>
        <w:numPr>
          <w:ilvl w:val="0"/>
          <w:numId w:val="11"/>
        </w:numPr>
        <w:spacing w:before="480" w:after="0" w:line="276" w:lineRule="auto"/>
        <w:rPr>
          <w:sz w:val="36"/>
          <w:szCs w:val="36"/>
        </w:rPr>
      </w:pPr>
      <w:bookmarkStart w:id="1410" w:name="_Toc227674645"/>
      <w:bookmarkStart w:id="1411" w:name="_Toc227674782"/>
      <w:bookmarkStart w:id="1412" w:name="_Toc227674917"/>
      <w:bookmarkStart w:id="1413" w:name="_Toc227675054"/>
      <w:bookmarkStart w:id="1414" w:name="_Toc227675191"/>
      <w:bookmarkStart w:id="1415" w:name="_Toc227675328"/>
      <w:bookmarkStart w:id="1416" w:name="_Toc227675465"/>
      <w:bookmarkStart w:id="1417" w:name="_Toc227675602"/>
      <w:bookmarkStart w:id="1418" w:name="_Toc227675740"/>
      <w:bookmarkStart w:id="1419" w:name="_Toc227675874"/>
      <w:bookmarkStart w:id="1420" w:name="_Toc227675999"/>
      <w:bookmarkStart w:id="1421" w:name="_Toc84884812"/>
      <w:bookmarkStart w:id="1422" w:name="_Toc85461599"/>
      <w:bookmarkStart w:id="1423" w:name="_Toc240536486"/>
      <w:bookmarkEnd w:id="1410"/>
      <w:bookmarkEnd w:id="1411"/>
      <w:bookmarkEnd w:id="1412"/>
      <w:bookmarkEnd w:id="1413"/>
      <w:bookmarkEnd w:id="1414"/>
      <w:bookmarkEnd w:id="1415"/>
      <w:bookmarkEnd w:id="1416"/>
      <w:bookmarkEnd w:id="1417"/>
      <w:bookmarkEnd w:id="1418"/>
      <w:bookmarkEnd w:id="1419"/>
      <w:bookmarkEnd w:id="1420"/>
      <w:r w:rsidRPr="005F6A36">
        <w:rPr>
          <w:sz w:val="36"/>
          <w:szCs w:val="36"/>
        </w:rPr>
        <w:t>Charter of Human Rights</w:t>
      </w:r>
      <w:bookmarkEnd w:id="1421"/>
      <w:bookmarkEnd w:id="1422"/>
      <w:bookmarkEnd w:id="1423"/>
    </w:p>
    <w:p w14:paraId="00EF1650" w14:textId="77777777" w:rsidR="00694501" w:rsidRPr="00766CE4" w:rsidRDefault="00694501" w:rsidP="00A324D3">
      <w:pPr>
        <w:pStyle w:val="NormalWeb"/>
        <w:spacing w:before="120" w:beforeAutospacing="0" w:after="240" w:afterAutospacing="0" w:line="233" w:lineRule="auto"/>
        <w:ind w:left="425"/>
        <w:rPr>
          <w:rFonts w:ascii="Arial" w:hAnsi="Arial"/>
          <w:lang w:val="en-GB"/>
        </w:rPr>
      </w:pPr>
      <w:r w:rsidRPr="00766CE4">
        <w:rPr>
          <w:rFonts w:ascii="Arial" w:hAnsi="Arial"/>
          <w:lang w:val="en-GB"/>
        </w:rPr>
        <w:t xml:space="preserve">The </w:t>
      </w:r>
      <w:hyperlink r:id="rId18" w:tgtFrame="_blank" w:history="1">
        <w:r w:rsidRPr="00766CE4">
          <w:rPr>
            <w:rStyle w:val="Emphasis"/>
            <w:rFonts w:ascii="Arial" w:hAnsi="Arial"/>
            <w:color w:val="0000FF"/>
            <w:u w:val="single"/>
            <w:lang w:val="en-GB"/>
          </w:rPr>
          <w:t>Charter of Human Rights and Responsibilities Act 2006</w:t>
        </w:r>
      </w:hyperlink>
      <w:r w:rsidRPr="00766CE4">
        <w:rPr>
          <w:rFonts w:ascii="Arial" w:hAnsi="Arial"/>
          <w:lang w:val="en-GB"/>
        </w:rPr>
        <w:t xml:space="preserve"> (the Charter) sets out the basic rights, freedoms and responsibilities of all people in Victoria. It is about the relationship between government and the people it serves.</w:t>
      </w:r>
    </w:p>
    <w:p w14:paraId="6F37A864" w14:textId="77777777" w:rsidR="00694501" w:rsidRPr="00766CE4" w:rsidRDefault="00694501" w:rsidP="00A324D3">
      <w:pPr>
        <w:pStyle w:val="NormalWeb"/>
        <w:spacing w:before="120" w:beforeAutospacing="0" w:after="240" w:afterAutospacing="0" w:line="233" w:lineRule="auto"/>
        <w:ind w:left="425"/>
        <w:rPr>
          <w:rFonts w:ascii="Arial" w:hAnsi="Arial"/>
          <w:lang w:val="en-GB"/>
        </w:rPr>
      </w:pPr>
      <w:r w:rsidRPr="00766CE4">
        <w:rPr>
          <w:rFonts w:ascii="Arial" w:hAnsi="Arial"/>
          <w:lang w:val="en-GB"/>
        </w:rPr>
        <w:t>The Charter requires public authorities, such as Victorian state and local government departments and agencies, and people delivering services on behalf of government, to act consistently with the human rights in the Charter.</w:t>
      </w:r>
    </w:p>
    <w:p w14:paraId="45440069" w14:textId="77777777" w:rsidR="00694501" w:rsidRPr="00766CE4" w:rsidRDefault="00694501" w:rsidP="00A324D3">
      <w:pPr>
        <w:pStyle w:val="NormalWeb"/>
        <w:spacing w:before="120" w:beforeAutospacing="0" w:after="240" w:afterAutospacing="0" w:line="233" w:lineRule="auto"/>
        <w:ind w:left="425"/>
        <w:rPr>
          <w:rFonts w:ascii="Arial" w:hAnsi="Arial"/>
          <w:lang w:val="en-GB"/>
        </w:rPr>
      </w:pPr>
      <w:r w:rsidRPr="00766CE4">
        <w:rPr>
          <w:rFonts w:ascii="Arial" w:hAnsi="Arial"/>
          <w:lang w:val="en-GB"/>
        </w:rPr>
        <w:t>The Charter recognises that as human beings all persons have basic rights, including the right to be treated equally, to be safe from violence and abuse, to be part of a family and to have their privacy respected.</w:t>
      </w:r>
    </w:p>
    <w:p w14:paraId="5CD099BB" w14:textId="77777777" w:rsidR="00694501" w:rsidRPr="00766CE4" w:rsidRDefault="00694501" w:rsidP="00A324D3">
      <w:pPr>
        <w:pStyle w:val="NormalWeb"/>
        <w:spacing w:before="120" w:beforeAutospacing="0" w:after="240" w:afterAutospacing="0" w:line="233" w:lineRule="auto"/>
        <w:ind w:left="425"/>
        <w:rPr>
          <w:rFonts w:ascii="Arial" w:hAnsi="Arial"/>
          <w:lang w:val="en-GB"/>
        </w:rPr>
      </w:pPr>
      <w:r w:rsidRPr="00766CE4">
        <w:rPr>
          <w:rFonts w:ascii="Arial" w:hAnsi="Arial"/>
          <w:lang w:val="en-GB"/>
        </w:rPr>
        <w:t>In certain circumstances some rights have limitations, however this only applies where necessary with the reasons for the decision being clear, transparent and reasonable.</w:t>
      </w:r>
    </w:p>
    <w:p w14:paraId="49A66FC1" w14:textId="707E20B0" w:rsidR="00694501" w:rsidRPr="00766CE4" w:rsidRDefault="00694501" w:rsidP="00A324D3">
      <w:pPr>
        <w:pStyle w:val="NormalWeb"/>
        <w:spacing w:before="120" w:beforeAutospacing="0" w:after="240" w:afterAutospacing="0" w:line="233" w:lineRule="auto"/>
        <w:ind w:left="425"/>
        <w:rPr>
          <w:rFonts w:ascii="Arial" w:hAnsi="Arial"/>
          <w:lang w:val="en-GB"/>
        </w:rPr>
      </w:pPr>
      <w:r w:rsidRPr="00766CE4">
        <w:rPr>
          <w:rFonts w:ascii="Arial" w:hAnsi="Arial"/>
          <w:lang w:val="en-GB"/>
        </w:rPr>
        <w:t>Council expects all Councillors and staff members to be cognisant of the requirements of this Act and adopt and implement these fundamental rights in their day-to-day activities.</w:t>
      </w:r>
    </w:p>
    <w:p w14:paraId="111A0A45" w14:textId="77777777" w:rsidR="00694501" w:rsidRPr="001D103D" w:rsidRDefault="00694501" w:rsidP="009F1E3B">
      <w:pPr>
        <w:pStyle w:val="proc1"/>
        <w:numPr>
          <w:ilvl w:val="1"/>
          <w:numId w:val="11"/>
        </w:numPr>
        <w:rPr>
          <w:sz w:val="28"/>
          <w:szCs w:val="28"/>
        </w:rPr>
      </w:pPr>
      <w:bookmarkStart w:id="1424" w:name="_Toc84884813"/>
      <w:bookmarkStart w:id="1425" w:name="_Hlk84794093"/>
      <w:bookmarkStart w:id="1426" w:name="_Toc85461600"/>
      <w:bookmarkStart w:id="1427" w:name="_Toc240536487"/>
      <w:bookmarkStart w:id="1428" w:name="_Hlk73519170"/>
      <w:r w:rsidRPr="001D103D">
        <w:rPr>
          <w:sz w:val="28"/>
          <w:szCs w:val="28"/>
        </w:rPr>
        <w:t>Diversity</w:t>
      </w:r>
      <w:bookmarkEnd w:id="1424"/>
      <w:bookmarkEnd w:id="1425"/>
      <w:bookmarkEnd w:id="1426"/>
      <w:bookmarkEnd w:id="1427"/>
    </w:p>
    <w:p w14:paraId="2F08B3A9" w14:textId="4583AA11" w:rsidR="00694501" w:rsidRPr="00766CE4" w:rsidRDefault="00694501" w:rsidP="00A324D3">
      <w:pPr>
        <w:pStyle w:val="NormalWeb"/>
        <w:spacing w:before="120" w:beforeAutospacing="0" w:after="240" w:afterAutospacing="0" w:line="233" w:lineRule="auto"/>
        <w:ind w:left="425"/>
        <w:rPr>
          <w:rFonts w:ascii="Arial" w:hAnsi="Arial"/>
          <w:lang w:val="en-GB"/>
        </w:rPr>
      </w:pPr>
      <w:r w:rsidRPr="00766CE4">
        <w:rPr>
          <w:rFonts w:ascii="Arial" w:hAnsi="Arial"/>
          <w:lang w:val="en-GB"/>
        </w:rPr>
        <w:t>Yarra draws pride and strength from our diverse community and recognises that our procurement practices can help reduce barriers faced by some groups of people and to address inequality in our community. This includes people with disability, Aboriginal and Torres Strait Islander people, culturally, religiously and linguistically diverse people, young people, older people, women, and people who identify as gay, lesbian, bisexual, transgender, intersex or queer.</w:t>
      </w:r>
    </w:p>
    <w:p w14:paraId="4FA7EF84" w14:textId="77777777" w:rsidR="00422EDE" w:rsidRPr="00766CE4" w:rsidRDefault="00694501" w:rsidP="00A324D3">
      <w:pPr>
        <w:pStyle w:val="NormalWeb"/>
        <w:spacing w:before="120" w:beforeAutospacing="0" w:after="240" w:afterAutospacing="0" w:line="233" w:lineRule="auto"/>
        <w:ind w:left="425"/>
        <w:rPr>
          <w:rFonts w:ascii="Arial" w:hAnsi="Arial"/>
          <w:lang w:val="en-GB"/>
        </w:rPr>
      </w:pPr>
      <w:r w:rsidRPr="00766CE4">
        <w:rPr>
          <w:rFonts w:ascii="Arial" w:hAnsi="Arial"/>
          <w:lang w:val="en-GB"/>
        </w:rPr>
        <w:t>Promoting equality through procurement can improve competition, Value for Money, the quality of public services, satisfaction among users, and positive community relations.  It should be a consideration in every procurement project and reflect corporate commitment to diversity and equal opportunities wherever possible.</w:t>
      </w:r>
    </w:p>
    <w:p w14:paraId="09DCF0A1" w14:textId="77777777" w:rsidR="00694501" w:rsidRPr="00766CE4" w:rsidRDefault="00694501" w:rsidP="00A324D3">
      <w:pPr>
        <w:pStyle w:val="NormalWeb"/>
        <w:spacing w:before="120" w:beforeAutospacing="0" w:after="240" w:afterAutospacing="0" w:line="233" w:lineRule="auto"/>
        <w:ind w:left="425"/>
        <w:rPr>
          <w:rFonts w:ascii="Arial" w:hAnsi="Arial"/>
          <w:lang w:val="en-GB"/>
        </w:rPr>
      </w:pPr>
      <w:r w:rsidRPr="00766CE4">
        <w:rPr>
          <w:rFonts w:ascii="Arial" w:hAnsi="Arial"/>
          <w:lang w:val="en-GB"/>
        </w:rPr>
        <w:t>Council officers are encouraged to seek products, services and providers that:</w:t>
      </w:r>
    </w:p>
    <w:p w14:paraId="7C07F593" w14:textId="77777777" w:rsidR="00694501" w:rsidRPr="00766CE4" w:rsidRDefault="00694501" w:rsidP="00A324D3">
      <w:pPr>
        <w:pStyle w:val="ListParagraph"/>
        <w:numPr>
          <w:ilvl w:val="0"/>
          <w:numId w:val="125"/>
        </w:numPr>
        <w:rPr>
          <w:rFonts w:cs="Arial"/>
          <w:sz w:val="24"/>
          <w:szCs w:val="24"/>
        </w:rPr>
      </w:pPr>
      <w:r w:rsidRPr="00766CE4">
        <w:rPr>
          <w:rFonts w:cs="Arial"/>
          <w:sz w:val="24"/>
          <w:szCs w:val="24"/>
        </w:rPr>
        <w:t>undertake corporate social responsibility activities;</w:t>
      </w:r>
    </w:p>
    <w:p w14:paraId="5865053B" w14:textId="77777777" w:rsidR="00694501" w:rsidRPr="00766CE4" w:rsidRDefault="00694501" w:rsidP="00A324D3">
      <w:pPr>
        <w:pStyle w:val="ListParagraph"/>
        <w:numPr>
          <w:ilvl w:val="0"/>
          <w:numId w:val="125"/>
        </w:numPr>
        <w:rPr>
          <w:rFonts w:cs="Arial"/>
          <w:sz w:val="24"/>
          <w:szCs w:val="24"/>
        </w:rPr>
      </w:pPr>
      <w:r w:rsidRPr="00766CE4">
        <w:rPr>
          <w:rFonts w:cs="Arial"/>
          <w:sz w:val="24"/>
          <w:szCs w:val="24"/>
        </w:rPr>
        <w:t>actively support or employ people who may face employment or other social barriers; and</w:t>
      </w:r>
    </w:p>
    <w:p w14:paraId="57C56159" w14:textId="7E818F2B" w:rsidR="00CA0E9D" w:rsidRPr="00766CE4" w:rsidRDefault="00694501" w:rsidP="007A7B72">
      <w:pPr>
        <w:pStyle w:val="ListParagraph"/>
        <w:numPr>
          <w:ilvl w:val="0"/>
          <w:numId w:val="125"/>
        </w:numPr>
        <w:rPr>
          <w:rFonts w:cs="Arial"/>
          <w:sz w:val="24"/>
          <w:szCs w:val="24"/>
        </w:rPr>
      </w:pPr>
      <w:r w:rsidRPr="00766CE4">
        <w:rPr>
          <w:rFonts w:cs="Arial"/>
          <w:sz w:val="24"/>
          <w:szCs w:val="24"/>
        </w:rPr>
        <w:t>are inclusive of the needs of people with disabilities</w:t>
      </w:r>
    </w:p>
    <w:p w14:paraId="64CCE03C" w14:textId="77777777" w:rsidR="00694501" w:rsidRPr="001D103D" w:rsidRDefault="00694501" w:rsidP="009F1E3B">
      <w:pPr>
        <w:pStyle w:val="proc1"/>
        <w:numPr>
          <w:ilvl w:val="1"/>
          <w:numId w:val="11"/>
        </w:numPr>
        <w:rPr>
          <w:sz w:val="28"/>
          <w:szCs w:val="28"/>
        </w:rPr>
      </w:pPr>
      <w:bookmarkStart w:id="1429" w:name="_Toc84884814"/>
      <w:bookmarkStart w:id="1430" w:name="_Toc85461601"/>
      <w:bookmarkStart w:id="1431" w:name="_Toc240536488"/>
      <w:r w:rsidRPr="001D103D">
        <w:rPr>
          <w:sz w:val="28"/>
          <w:szCs w:val="28"/>
        </w:rPr>
        <w:t>Gender Equality</w:t>
      </w:r>
      <w:bookmarkEnd w:id="1429"/>
      <w:bookmarkEnd w:id="1430"/>
      <w:bookmarkEnd w:id="1431"/>
    </w:p>
    <w:p w14:paraId="22C33949" w14:textId="5A0D8C18" w:rsidR="00694501" w:rsidRPr="00766CE4" w:rsidRDefault="00694501" w:rsidP="00A324D3">
      <w:pPr>
        <w:pStyle w:val="NormalWeb"/>
        <w:spacing w:before="120" w:beforeAutospacing="0" w:after="240" w:afterAutospacing="0" w:line="233" w:lineRule="auto"/>
        <w:ind w:left="425"/>
        <w:rPr>
          <w:rFonts w:ascii="Arial" w:hAnsi="Arial"/>
          <w:lang w:val="en-GB"/>
        </w:rPr>
      </w:pPr>
      <w:r w:rsidRPr="00766CE4">
        <w:rPr>
          <w:rFonts w:ascii="Arial" w:hAnsi="Arial"/>
          <w:lang w:val="en-GB"/>
        </w:rPr>
        <w:t xml:space="preserve">The Victorian Gender Equality Act 2020 (The </w:t>
      </w:r>
      <w:bookmarkStart w:id="1432" w:name="_Hlk85892279"/>
      <w:r w:rsidRPr="00766CE4">
        <w:rPr>
          <w:rFonts w:ascii="Arial" w:hAnsi="Arial"/>
          <w:lang w:val="en-GB"/>
        </w:rPr>
        <w:t>Gender Equality Act</w:t>
      </w:r>
      <w:bookmarkEnd w:id="1432"/>
      <w:r w:rsidRPr="00766CE4">
        <w:rPr>
          <w:rFonts w:ascii="Arial" w:hAnsi="Arial"/>
          <w:lang w:val="en-GB"/>
        </w:rPr>
        <w:t>) was passed by the State Government in February 2020.</w:t>
      </w:r>
    </w:p>
    <w:p w14:paraId="3679770B" w14:textId="7A19B013" w:rsidR="00694501" w:rsidRPr="00766CE4" w:rsidRDefault="00694501" w:rsidP="00A324D3">
      <w:pPr>
        <w:pStyle w:val="NormalWeb"/>
        <w:spacing w:before="120" w:beforeAutospacing="0" w:after="240" w:afterAutospacing="0" w:line="233" w:lineRule="auto"/>
        <w:ind w:left="425"/>
        <w:rPr>
          <w:rFonts w:ascii="Arial" w:hAnsi="Arial"/>
          <w:lang w:val="en-GB"/>
        </w:rPr>
      </w:pPr>
      <w:r w:rsidRPr="00766CE4">
        <w:rPr>
          <w:rFonts w:ascii="Arial" w:hAnsi="Arial"/>
          <w:lang w:val="en-GB"/>
        </w:rPr>
        <w:t>The purpose of the Gender Equality Act requires “defined entities” (entities that have 50 or more employees) within the public sector, Councils, and Universities to take positive action towards achieving workplace gender equality, and to promote gender equality in their policies, programs and services.</w:t>
      </w:r>
    </w:p>
    <w:p w14:paraId="6CD8AC72" w14:textId="100AEB2C" w:rsidR="00694501" w:rsidRPr="00766CE4" w:rsidRDefault="00694501" w:rsidP="00A324D3">
      <w:pPr>
        <w:pStyle w:val="NormalWeb"/>
        <w:spacing w:before="120" w:beforeAutospacing="0" w:after="240" w:afterAutospacing="0" w:line="233" w:lineRule="auto"/>
        <w:ind w:left="425"/>
        <w:rPr>
          <w:rFonts w:ascii="Arial" w:hAnsi="Arial"/>
          <w:lang w:val="en-GB"/>
        </w:rPr>
      </w:pPr>
      <w:r w:rsidRPr="00766CE4">
        <w:rPr>
          <w:rFonts w:ascii="Arial" w:hAnsi="Arial"/>
          <w:lang w:val="en-GB"/>
        </w:rPr>
        <w:t>The Gender Equality Act also states that a “defined entity” must, in developing policies and programs and in delivering services that are to be provided to the public, or have a direct and significant impact on the public:</w:t>
      </w:r>
    </w:p>
    <w:p w14:paraId="4F5C8E3E" w14:textId="77777777" w:rsidR="00694501" w:rsidRPr="00766CE4" w:rsidRDefault="00694501" w:rsidP="00A324D3">
      <w:pPr>
        <w:pStyle w:val="ListParagraph"/>
        <w:numPr>
          <w:ilvl w:val="0"/>
          <w:numId w:val="125"/>
        </w:numPr>
        <w:rPr>
          <w:rFonts w:cs="Arial"/>
          <w:sz w:val="24"/>
          <w:szCs w:val="24"/>
        </w:rPr>
      </w:pPr>
      <w:r w:rsidRPr="00766CE4">
        <w:rPr>
          <w:rFonts w:cs="Arial"/>
          <w:sz w:val="24"/>
          <w:szCs w:val="24"/>
        </w:rPr>
        <w:t>Consider and promote gender equality; and</w:t>
      </w:r>
    </w:p>
    <w:p w14:paraId="2CC9D20B" w14:textId="77777777" w:rsidR="00694501" w:rsidRPr="00766CE4" w:rsidRDefault="00694501" w:rsidP="00A324D3">
      <w:pPr>
        <w:pStyle w:val="ListParagraph"/>
        <w:numPr>
          <w:ilvl w:val="0"/>
          <w:numId w:val="125"/>
        </w:numPr>
        <w:rPr>
          <w:rFonts w:cs="Arial"/>
          <w:sz w:val="24"/>
          <w:szCs w:val="24"/>
        </w:rPr>
      </w:pPr>
      <w:r w:rsidRPr="00766CE4">
        <w:rPr>
          <w:rFonts w:cs="Arial"/>
          <w:sz w:val="24"/>
          <w:szCs w:val="24"/>
        </w:rPr>
        <w:t>Take necessary and proportionate action towards achieving gender equality.</w:t>
      </w:r>
    </w:p>
    <w:p w14:paraId="558BAA97" w14:textId="42475FAA" w:rsidR="00694501" w:rsidRPr="00766CE4" w:rsidRDefault="00694501" w:rsidP="00A324D3">
      <w:pPr>
        <w:pStyle w:val="NormalWeb"/>
        <w:spacing w:before="120" w:beforeAutospacing="0" w:after="240" w:afterAutospacing="0" w:line="233" w:lineRule="auto"/>
        <w:ind w:left="425"/>
        <w:rPr>
          <w:rFonts w:ascii="Arial" w:hAnsi="Arial"/>
          <w:lang w:val="en-GB"/>
        </w:rPr>
      </w:pPr>
      <w:r w:rsidRPr="00766CE4">
        <w:rPr>
          <w:rFonts w:ascii="Arial" w:hAnsi="Arial"/>
          <w:lang w:val="en-GB"/>
        </w:rPr>
        <w:t>In consideration of the Gender Equality Act, the Council’s tender evaluation processes should include interested persons on tender panels regardless of origin, age, disability, ethnicity, gender identity, race, religion or sexual orientation.</w:t>
      </w:r>
    </w:p>
    <w:p w14:paraId="6A1C3E57" w14:textId="492E4F5A" w:rsidR="00694501" w:rsidRPr="00766CE4" w:rsidRDefault="00694501" w:rsidP="00A324D3">
      <w:pPr>
        <w:pStyle w:val="NormalWeb"/>
        <w:spacing w:before="120" w:beforeAutospacing="0" w:after="240" w:afterAutospacing="0" w:line="233" w:lineRule="auto"/>
        <w:ind w:left="425"/>
        <w:rPr>
          <w:rFonts w:ascii="Arial" w:hAnsi="Arial"/>
          <w:lang w:val="en-GB"/>
        </w:rPr>
      </w:pPr>
      <w:r w:rsidRPr="00766CE4">
        <w:rPr>
          <w:rFonts w:ascii="Arial" w:hAnsi="Arial"/>
          <w:lang w:val="en-GB"/>
        </w:rPr>
        <w:t>To complement the requirements of the Gender Equality Act, criteria relating to Gender Equality will be included in Tender documents seeking information from suppliers as to their commitment to:</w:t>
      </w:r>
    </w:p>
    <w:p w14:paraId="5890877D" w14:textId="77777777" w:rsidR="00694501" w:rsidRPr="00766CE4" w:rsidRDefault="00694501" w:rsidP="00A324D3">
      <w:pPr>
        <w:pStyle w:val="ListParagraph"/>
        <w:numPr>
          <w:ilvl w:val="0"/>
          <w:numId w:val="125"/>
        </w:numPr>
        <w:rPr>
          <w:rFonts w:cs="Arial"/>
          <w:sz w:val="24"/>
          <w:szCs w:val="24"/>
        </w:rPr>
      </w:pPr>
      <w:r w:rsidRPr="00766CE4">
        <w:rPr>
          <w:rFonts w:cs="Arial"/>
          <w:sz w:val="24"/>
          <w:szCs w:val="24"/>
        </w:rPr>
        <w:t>Ensuring an integrated and comprehensive approach to the promotion of gender equity;</w:t>
      </w:r>
    </w:p>
    <w:p w14:paraId="3BAAB83A" w14:textId="77777777" w:rsidR="00694501" w:rsidRPr="00766CE4" w:rsidRDefault="00694501" w:rsidP="00A324D3">
      <w:pPr>
        <w:pStyle w:val="ListParagraph"/>
        <w:numPr>
          <w:ilvl w:val="0"/>
          <w:numId w:val="125"/>
        </w:numPr>
        <w:rPr>
          <w:rFonts w:cs="Arial"/>
          <w:sz w:val="24"/>
          <w:szCs w:val="24"/>
        </w:rPr>
      </w:pPr>
      <w:r w:rsidRPr="00766CE4">
        <w:rPr>
          <w:rFonts w:cs="Arial"/>
          <w:sz w:val="24"/>
          <w:szCs w:val="24"/>
        </w:rPr>
        <w:t>Supporting respectful relationships by modelling safe, flexible workplace practices;</w:t>
      </w:r>
    </w:p>
    <w:p w14:paraId="1F6A5F8A" w14:textId="0290CE23" w:rsidR="00694501" w:rsidRPr="00766CE4" w:rsidRDefault="00694501" w:rsidP="00A324D3">
      <w:pPr>
        <w:pStyle w:val="ListParagraph"/>
        <w:numPr>
          <w:ilvl w:val="0"/>
          <w:numId w:val="125"/>
        </w:numPr>
        <w:rPr>
          <w:rFonts w:cs="Arial"/>
          <w:sz w:val="24"/>
          <w:szCs w:val="24"/>
        </w:rPr>
      </w:pPr>
      <w:r w:rsidRPr="00766CE4">
        <w:rPr>
          <w:rFonts w:cs="Arial"/>
          <w:sz w:val="24"/>
          <w:szCs w:val="24"/>
        </w:rPr>
        <w:t xml:space="preserve">Driving positive action that safeguards fair treatment to all employees of suppliers regardless of gender in line with Yarra’s organisational values and obligations, enforced as per the Equal Opportunity Act 2010 (Vic). </w:t>
      </w:r>
      <w:bookmarkEnd w:id="1428"/>
    </w:p>
    <w:p w14:paraId="3187EED1" w14:textId="77777777" w:rsidR="005861B1" w:rsidRPr="00766CE4" w:rsidRDefault="005861B1" w:rsidP="009F1E3B">
      <w:pPr>
        <w:pStyle w:val="proc1"/>
        <w:numPr>
          <w:ilvl w:val="1"/>
          <w:numId w:val="11"/>
        </w:numPr>
        <w:rPr>
          <w:sz w:val="28"/>
          <w:szCs w:val="28"/>
        </w:rPr>
      </w:pPr>
      <w:bookmarkStart w:id="1433" w:name="_Toc240536489"/>
      <w:r w:rsidRPr="00766CE4">
        <w:rPr>
          <w:sz w:val="28"/>
          <w:szCs w:val="28"/>
        </w:rPr>
        <w:t>Safeguarding Children and Young People</w:t>
      </w:r>
      <w:bookmarkEnd w:id="1433"/>
    </w:p>
    <w:p w14:paraId="412BEB96" w14:textId="7257D1D2" w:rsidR="00D522CB" w:rsidRPr="00766CE4" w:rsidRDefault="00D522CB" w:rsidP="00A324D3">
      <w:pPr>
        <w:pStyle w:val="NormalWeb"/>
        <w:spacing w:before="120" w:beforeAutospacing="0" w:after="240" w:afterAutospacing="0" w:line="233" w:lineRule="auto"/>
        <w:ind w:left="425"/>
        <w:rPr>
          <w:rFonts w:ascii="Arial" w:hAnsi="Arial"/>
          <w:lang w:val="en-GB"/>
        </w:rPr>
      </w:pPr>
      <w:bookmarkStart w:id="1434" w:name="_Toc84884815"/>
      <w:bookmarkStart w:id="1435" w:name="_Toc85461602"/>
      <w:r w:rsidRPr="00766CE4">
        <w:rPr>
          <w:rFonts w:ascii="Arial" w:hAnsi="Arial"/>
          <w:lang w:val="en-GB"/>
        </w:rPr>
        <w:t>In accordance with the Child Wellbeing and Safety Act 2005 (Vic) and Child Safe Standard 9, a child safe clause must be included in all contracts where the services involve direct contact with children and young people, or where such contact is a usual and more than incidental part of the services.</w:t>
      </w:r>
    </w:p>
    <w:p w14:paraId="2236777E" w14:textId="6B70C744" w:rsidR="00D522CB" w:rsidRPr="00766CE4" w:rsidRDefault="00D522CB" w:rsidP="00A324D3">
      <w:pPr>
        <w:pStyle w:val="NormalWeb"/>
        <w:spacing w:before="120" w:beforeAutospacing="0" w:after="240" w:afterAutospacing="0" w:line="233" w:lineRule="auto"/>
        <w:ind w:left="425"/>
        <w:rPr>
          <w:rFonts w:ascii="Arial" w:hAnsi="Arial"/>
          <w:lang w:val="en-GB"/>
        </w:rPr>
      </w:pPr>
      <w:r w:rsidRPr="00766CE4">
        <w:rPr>
          <w:rFonts w:ascii="Arial" w:hAnsi="Arial"/>
          <w:lang w:val="en-GB"/>
        </w:rPr>
        <w:t>Council officers must consider the inclusion of a child safe clause in all other contracts where children and young people may be involved, based on assessment of the specific nature and risk of the services.</w:t>
      </w:r>
    </w:p>
    <w:p w14:paraId="6ED3C28D" w14:textId="07F2E56A" w:rsidR="009A1261" w:rsidRPr="00766CE4" w:rsidRDefault="00D522CB" w:rsidP="00A324D3">
      <w:pPr>
        <w:pStyle w:val="NormalWeb"/>
        <w:spacing w:before="120" w:beforeAutospacing="0" w:after="240" w:afterAutospacing="0" w:line="233" w:lineRule="auto"/>
        <w:ind w:left="425"/>
        <w:rPr>
          <w:rFonts w:ascii="Arial" w:hAnsi="Arial"/>
          <w:lang w:val="en-GB"/>
        </w:rPr>
      </w:pPr>
      <w:r w:rsidRPr="00766CE4">
        <w:rPr>
          <w:rFonts w:ascii="Arial" w:hAnsi="Arial"/>
          <w:lang w:val="en-GB"/>
        </w:rPr>
        <w:t>Contracts containing a child safe clause must include appropriate remedies for non-compliance. Any identified non-compliance must be addressed promptly in accordance with Council's Child Safe Procurement Procedure.</w:t>
      </w:r>
    </w:p>
    <w:p w14:paraId="170DF846" w14:textId="77777777" w:rsidR="00694501" w:rsidRPr="005F6A36" w:rsidRDefault="00694501" w:rsidP="009F1E3B">
      <w:pPr>
        <w:pStyle w:val="Heading1"/>
        <w:keepLines/>
        <w:numPr>
          <w:ilvl w:val="0"/>
          <w:numId w:val="11"/>
        </w:numPr>
        <w:spacing w:before="480" w:after="0" w:line="276" w:lineRule="auto"/>
        <w:rPr>
          <w:sz w:val="36"/>
          <w:szCs w:val="36"/>
        </w:rPr>
      </w:pPr>
      <w:bookmarkStart w:id="1436" w:name="_Toc84884816"/>
      <w:bookmarkStart w:id="1437" w:name="_Toc85461607"/>
      <w:bookmarkStart w:id="1438" w:name="_Toc240536490"/>
      <w:bookmarkEnd w:id="1434"/>
      <w:bookmarkEnd w:id="1435"/>
      <w:r w:rsidRPr="005F6A36">
        <w:rPr>
          <w:sz w:val="36"/>
          <w:szCs w:val="36"/>
        </w:rPr>
        <w:t>Glossary of Terms</w:t>
      </w:r>
      <w:bookmarkEnd w:id="1436"/>
      <w:bookmarkEnd w:id="1437"/>
      <w:bookmarkEnd w:id="1438"/>
    </w:p>
    <w:p w14:paraId="0DFA45FD" w14:textId="77777777" w:rsidR="00694501" w:rsidRPr="005F6A36" w:rsidRDefault="00694501" w:rsidP="00694501">
      <w:pPr>
        <w:pStyle w:val="ListParagraph"/>
        <w:spacing w:after="0" w:line="240" w:lineRule="auto"/>
        <w:ind w:left="0"/>
        <w:contextualSpacing w:val="0"/>
        <w:rPr>
          <w:rFonts w:cs="Arial"/>
          <w:sz w:val="21"/>
          <w:szCs w:val="21"/>
        </w:rPr>
      </w:pPr>
    </w:p>
    <w:p w14:paraId="555BA2FF" w14:textId="42C2E05E" w:rsidR="00694501" w:rsidRPr="00766CE4" w:rsidRDefault="00694501" w:rsidP="00694501">
      <w:pPr>
        <w:pStyle w:val="ListParagraph"/>
        <w:spacing w:after="0" w:line="240" w:lineRule="auto"/>
        <w:ind w:left="426"/>
        <w:contextualSpacing w:val="0"/>
        <w:rPr>
          <w:rFonts w:cs="Arial"/>
          <w:sz w:val="24"/>
          <w:szCs w:val="24"/>
        </w:rPr>
      </w:pPr>
      <w:r w:rsidRPr="00766CE4">
        <w:rPr>
          <w:rFonts w:cs="Arial"/>
          <w:b/>
          <w:i/>
          <w:sz w:val="24"/>
          <w:szCs w:val="24"/>
        </w:rPr>
        <w:t xml:space="preserve">“The Act” </w:t>
      </w:r>
      <w:r w:rsidRPr="00766CE4">
        <w:rPr>
          <w:rFonts w:cs="Arial"/>
          <w:sz w:val="24"/>
          <w:szCs w:val="24"/>
        </w:rPr>
        <w:t xml:space="preserve">means the </w:t>
      </w:r>
      <w:r w:rsidRPr="00766CE4">
        <w:rPr>
          <w:rFonts w:cs="Arial"/>
          <w:i/>
          <w:sz w:val="24"/>
          <w:szCs w:val="24"/>
        </w:rPr>
        <w:t>Local Government Act 2020</w:t>
      </w:r>
      <w:r w:rsidRPr="00766CE4">
        <w:rPr>
          <w:rFonts w:cs="Arial"/>
          <w:sz w:val="24"/>
          <w:szCs w:val="24"/>
        </w:rPr>
        <w:t>.</w:t>
      </w:r>
    </w:p>
    <w:p w14:paraId="3788F14C" w14:textId="77777777" w:rsidR="00694501" w:rsidRPr="00766CE4" w:rsidRDefault="00694501" w:rsidP="00694501">
      <w:pPr>
        <w:pStyle w:val="ListParagraph"/>
        <w:spacing w:after="0" w:line="240" w:lineRule="auto"/>
        <w:ind w:left="426"/>
        <w:contextualSpacing w:val="0"/>
        <w:rPr>
          <w:rFonts w:cs="Arial"/>
          <w:sz w:val="24"/>
          <w:szCs w:val="24"/>
        </w:rPr>
      </w:pPr>
    </w:p>
    <w:p w14:paraId="7B00B447" w14:textId="77777777" w:rsidR="00A5139F" w:rsidRPr="00766CE4" w:rsidRDefault="00A5139F" w:rsidP="00A5139F">
      <w:pPr>
        <w:pStyle w:val="ListParagraph"/>
        <w:spacing w:after="0" w:line="240" w:lineRule="auto"/>
        <w:ind w:left="426"/>
        <w:contextualSpacing w:val="0"/>
        <w:rPr>
          <w:rFonts w:cs="Arial"/>
          <w:sz w:val="24"/>
          <w:szCs w:val="24"/>
        </w:rPr>
      </w:pPr>
      <w:r w:rsidRPr="00766CE4">
        <w:rPr>
          <w:rFonts w:cs="Arial"/>
          <w:b/>
          <w:bCs/>
          <w:i/>
          <w:iCs/>
          <w:sz w:val="24"/>
          <w:szCs w:val="24"/>
        </w:rPr>
        <w:t>“Collaborative Procurement</w:t>
      </w:r>
      <w:r w:rsidRPr="00766CE4">
        <w:rPr>
          <w:rFonts w:cs="Arial"/>
          <w:sz w:val="24"/>
          <w:szCs w:val="24"/>
        </w:rPr>
        <w:t>” means a procurement process conducted collectively between Council, and government entities, a nominated authorised agent such as Procurement Australia, the Municipal Association of Victoria (MAV) or a collective of Local Government Councils, for the benefit of achieving best value by leveraging combined economies of scale.</w:t>
      </w:r>
    </w:p>
    <w:p w14:paraId="69927564" w14:textId="77777777" w:rsidR="00A5139F" w:rsidRPr="00766CE4" w:rsidRDefault="00A5139F" w:rsidP="00694501">
      <w:pPr>
        <w:pStyle w:val="ListParagraph"/>
        <w:spacing w:after="0" w:line="240" w:lineRule="auto"/>
        <w:ind w:left="426"/>
        <w:contextualSpacing w:val="0"/>
        <w:rPr>
          <w:rFonts w:cs="Arial"/>
          <w:b/>
          <w:sz w:val="24"/>
          <w:szCs w:val="24"/>
        </w:rPr>
      </w:pPr>
    </w:p>
    <w:p w14:paraId="1B9DB03A" w14:textId="4648953F" w:rsidR="00694501" w:rsidRPr="00766CE4" w:rsidRDefault="00694501" w:rsidP="00694501">
      <w:pPr>
        <w:pStyle w:val="ListParagraph"/>
        <w:spacing w:after="0" w:line="240" w:lineRule="auto"/>
        <w:ind w:left="426"/>
        <w:contextualSpacing w:val="0"/>
        <w:rPr>
          <w:rFonts w:cs="Arial"/>
          <w:sz w:val="24"/>
          <w:szCs w:val="24"/>
        </w:rPr>
      </w:pPr>
      <w:r w:rsidRPr="00766CE4">
        <w:rPr>
          <w:rFonts w:cs="Arial"/>
          <w:b/>
          <w:sz w:val="24"/>
          <w:szCs w:val="24"/>
        </w:rPr>
        <w:t>“</w:t>
      </w:r>
      <w:r w:rsidRPr="00766CE4">
        <w:rPr>
          <w:rFonts w:cs="Arial"/>
          <w:b/>
          <w:i/>
          <w:sz w:val="24"/>
          <w:szCs w:val="24"/>
        </w:rPr>
        <w:t>Commercial-in-Confidence</w:t>
      </w:r>
      <w:r w:rsidRPr="00766CE4">
        <w:rPr>
          <w:rFonts w:cs="Arial"/>
          <w:b/>
          <w:sz w:val="24"/>
          <w:szCs w:val="24"/>
        </w:rPr>
        <w:t xml:space="preserve">” </w:t>
      </w:r>
      <w:r w:rsidRPr="00766CE4">
        <w:rPr>
          <w:rFonts w:cs="Arial"/>
          <w:sz w:val="24"/>
          <w:szCs w:val="24"/>
        </w:rPr>
        <w:t>means information that if released may prejudice the business dealings of a party e.g. prices, discounts, rebates, profits, methodologies and process information.</w:t>
      </w:r>
    </w:p>
    <w:p w14:paraId="0B7E5CB7" w14:textId="77777777" w:rsidR="00694501" w:rsidRPr="00766CE4" w:rsidRDefault="00694501" w:rsidP="00694501">
      <w:pPr>
        <w:pStyle w:val="ListParagraph"/>
        <w:spacing w:after="0" w:line="240" w:lineRule="auto"/>
        <w:ind w:left="426"/>
        <w:contextualSpacing w:val="0"/>
        <w:rPr>
          <w:rFonts w:cs="Arial"/>
          <w:sz w:val="24"/>
          <w:szCs w:val="24"/>
        </w:rPr>
      </w:pPr>
    </w:p>
    <w:p w14:paraId="09B7A270" w14:textId="354E1A1A" w:rsidR="00694501" w:rsidRPr="00766CE4" w:rsidRDefault="00694501" w:rsidP="00694501">
      <w:pPr>
        <w:pStyle w:val="ListParagraph"/>
        <w:spacing w:after="0" w:line="240" w:lineRule="auto"/>
        <w:ind w:left="426"/>
        <w:contextualSpacing w:val="0"/>
        <w:rPr>
          <w:rFonts w:cs="Arial"/>
          <w:sz w:val="24"/>
          <w:szCs w:val="24"/>
        </w:rPr>
      </w:pPr>
      <w:r w:rsidRPr="00766CE4">
        <w:rPr>
          <w:rFonts w:cs="Arial"/>
          <w:b/>
          <w:i/>
          <w:sz w:val="24"/>
          <w:szCs w:val="24"/>
        </w:rPr>
        <w:t xml:space="preserve">“Contract Management” </w:t>
      </w:r>
      <w:r w:rsidRPr="00766CE4">
        <w:rPr>
          <w:rFonts w:cs="Arial"/>
          <w:sz w:val="24"/>
          <w:szCs w:val="24"/>
        </w:rPr>
        <w:t>means the process that ensures both parties to an agreement fully meet their obligations and responsibilities in accordance with the contract.</w:t>
      </w:r>
    </w:p>
    <w:p w14:paraId="64DF60E0" w14:textId="77777777" w:rsidR="00694501" w:rsidRPr="00766CE4" w:rsidRDefault="00694501" w:rsidP="00694501">
      <w:pPr>
        <w:pStyle w:val="ListParagraph"/>
        <w:spacing w:after="0" w:line="240" w:lineRule="auto"/>
        <w:ind w:left="426"/>
        <w:contextualSpacing w:val="0"/>
        <w:rPr>
          <w:rFonts w:cs="Arial"/>
          <w:sz w:val="24"/>
          <w:szCs w:val="24"/>
        </w:rPr>
      </w:pPr>
    </w:p>
    <w:p w14:paraId="74B684E2" w14:textId="4CE784FA" w:rsidR="00A5139F" w:rsidRPr="00766CE4" w:rsidRDefault="00A5139F" w:rsidP="00A5139F">
      <w:pPr>
        <w:pStyle w:val="ListParagraph"/>
        <w:spacing w:after="0" w:line="240" w:lineRule="auto"/>
        <w:ind w:left="426"/>
        <w:contextualSpacing w:val="0"/>
        <w:rPr>
          <w:rFonts w:cs="Arial"/>
          <w:sz w:val="24"/>
          <w:szCs w:val="24"/>
        </w:rPr>
      </w:pPr>
      <w:r w:rsidRPr="00766CE4">
        <w:rPr>
          <w:rFonts w:cs="Arial"/>
          <w:b/>
          <w:i/>
          <w:sz w:val="24"/>
          <w:szCs w:val="24"/>
        </w:rPr>
        <w:t xml:space="preserve">“Contract Variation” </w:t>
      </w:r>
      <w:r w:rsidRPr="00766CE4">
        <w:rPr>
          <w:rFonts w:cs="Arial"/>
          <w:sz w:val="24"/>
          <w:szCs w:val="24"/>
        </w:rPr>
        <w:t>refers to any modification made to the original terms and conditions of an executed contract. Variations may be financial or non-financial in nature and must be managed transparently, appropriately documented and assessed to ensure they do not undermine the principles of value for money, probity, equity, or open and fair competition.</w:t>
      </w:r>
    </w:p>
    <w:p w14:paraId="7644760D" w14:textId="77777777" w:rsidR="00493BE7" w:rsidRPr="00766CE4" w:rsidRDefault="00493BE7" w:rsidP="00A5139F">
      <w:pPr>
        <w:pStyle w:val="ListParagraph"/>
        <w:spacing w:after="0" w:line="240" w:lineRule="auto"/>
        <w:ind w:left="426"/>
        <w:contextualSpacing w:val="0"/>
        <w:rPr>
          <w:rFonts w:cs="Arial"/>
          <w:sz w:val="24"/>
          <w:szCs w:val="24"/>
        </w:rPr>
      </w:pPr>
    </w:p>
    <w:p w14:paraId="222B1146" w14:textId="5C825548" w:rsidR="00390DA0" w:rsidRPr="00766CE4" w:rsidRDefault="00493BE7" w:rsidP="00390DA0">
      <w:pPr>
        <w:pStyle w:val="ListParagraph"/>
        <w:spacing w:after="0" w:line="240" w:lineRule="auto"/>
        <w:ind w:left="426"/>
        <w:rPr>
          <w:rFonts w:cs="Arial"/>
          <w:sz w:val="24"/>
          <w:szCs w:val="24"/>
        </w:rPr>
      </w:pPr>
      <w:r w:rsidRPr="00766CE4">
        <w:rPr>
          <w:rFonts w:cs="Arial"/>
          <w:b/>
          <w:bCs/>
          <w:i/>
          <w:iCs/>
          <w:sz w:val="24"/>
          <w:szCs w:val="24"/>
        </w:rPr>
        <w:t>“Contract Variation – Financial”</w:t>
      </w:r>
      <w:r w:rsidRPr="00766CE4">
        <w:rPr>
          <w:rFonts w:cs="Arial"/>
          <w:sz w:val="24"/>
          <w:szCs w:val="24"/>
        </w:rPr>
        <w:t xml:space="preserve"> is a variation that alters the contract’s monetary value. This includes:</w:t>
      </w:r>
    </w:p>
    <w:p w14:paraId="6942640C" w14:textId="6996C745" w:rsidR="00390DA0" w:rsidRPr="00766CE4" w:rsidRDefault="00390DA0" w:rsidP="00B23E10">
      <w:pPr>
        <w:pStyle w:val="ListParagraph"/>
        <w:numPr>
          <w:ilvl w:val="0"/>
          <w:numId w:val="35"/>
        </w:numPr>
        <w:spacing w:after="0" w:line="240" w:lineRule="auto"/>
        <w:rPr>
          <w:rFonts w:cs="Arial"/>
          <w:sz w:val="24"/>
          <w:szCs w:val="24"/>
        </w:rPr>
      </w:pPr>
      <w:r w:rsidRPr="00766CE4">
        <w:rPr>
          <w:rFonts w:cs="Arial"/>
          <w:sz w:val="24"/>
          <w:szCs w:val="24"/>
        </w:rPr>
        <w:t>Increases or decreases in contract cost,</w:t>
      </w:r>
    </w:p>
    <w:p w14:paraId="33051459" w14:textId="29BF4080" w:rsidR="00390DA0" w:rsidRPr="00766CE4" w:rsidRDefault="00390DA0" w:rsidP="00B23E10">
      <w:pPr>
        <w:pStyle w:val="ListParagraph"/>
        <w:numPr>
          <w:ilvl w:val="0"/>
          <w:numId w:val="35"/>
        </w:numPr>
        <w:spacing w:after="0" w:line="240" w:lineRule="auto"/>
        <w:rPr>
          <w:rFonts w:cs="Arial"/>
          <w:sz w:val="24"/>
          <w:szCs w:val="24"/>
        </w:rPr>
      </w:pPr>
      <w:r w:rsidRPr="00766CE4">
        <w:rPr>
          <w:rFonts w:cs="Arial"/>
          <w:sz w:val="24"/>
          <w:szCs w:val="24"/>
        </w:rPr>
        <w:t>Whether within or exceeding approved contingencies,</w:t>
      </w:r>
    </w:p>
    <w:p w14:paraId="4831C1CA" w14:textId="291A3143" w:rsidR="00493BE7" w:rsidRPr="00766CE4" w:rsidRDefault="00390DA0" w:rsidP="00B23E10">
      <w:pPr>
        <w:pStyle w:val="ListParagraph"/>
        <w:numPr>
          <w:ilvl w:val="0"/>
          <w:numId w:val="35"/>
        </w:numPr>
        <w:spacing w:after="0" w:line="240" w:lineRule="auto"/>
        <w:contextualSpacing w:val="0"/>
        <w:rPr>
          <w:rFonts w:cs="Arial"/>
          <w:sz w:val="24"/>
          <w:szCs w:val="24"/>
        </w:rPr>
      </w:pPr>
      <w:r w:rsidRPr="00766CE4">
        <w:rPr>
          <w:rFonts w:cs="Arial"/>
          <w:sz w:val="24"/>
          <w:szCs w:val="24"/>
        </w:rPr>
        <w:t>Subject to approval in line with Council’s financial delegation limits and governance requirements</w:t>
      </w:r>
    </w:p>
    <w:p w14:paraId="1AE84185" w14:textId="77777777" w:rsidR="00A5139F" w:rsidRPr="00766CE4" w:rsidRDefault="00A5139F" w:rsidP="00694501">
      <w:pPr>
        <w:pStyle w:val="ListParagraph"/>
        <w:spacing w:after="0" w:line="240" w:lineRule="auto"/>
        <w:ind w:left="426"/>
        <w:contextualSpacing w:val="0"/>
        <w:rPr>
          <w:rFonts w:cs="Arial"/>
          <w:b/>
          <w:i/>
          <w:sz w:val="24"/>
          <w:szCs w:val="24"/>
        </w:rPr>
      </w:pPr>
    </w:p>
    <w:p w14:paraId="07716025" w14:textId="15834F57" w:rsidR="002C00E5" w:rsidRPr="00766CE4" w:rsidRDefault="00FA31D3" w:rsidP="002C00E5">
      <w:pPr>
        <w:pStyle w:val="ListParagraph"/>
        <w:spacing w:after="0" w:line="240" w:lineRule="auto"/>
        <w:ind w:left="426"/>
        <w:rPr>
          <w:rFonts w:cs="Arial"/>
          <w:bCs/>
          <w:iCs/>
          <w:sz w:val="24"/>
          <w:szCs w:val="24"/>
        </w:rPr>
      </w:pPr>
      <w:r w:rsidRPr="00766CE4">
        <w:rPr>
          <w:rFonts w:cs="Arial"/>
          <w:b/>
          <w:i/>
          <w:sz w:val="24"/>
          <w:szCs w:val="24"/>
        </w:rPr>
        <w:t xml:space="preserve">“Contract Variation – Non-Financial” </w:t>
      </w:r>
      <w:r w:rsidRPr="00766CE4">
        <w:rPr>
          <w:rFonts w:cs="Arial"/>
          <w:bCs/>
          <w:iCs/>
          <w:sz w:val="24"/>
          <w:szCs w:val="24"/>
        </w:rPr>
        <w:t>is a variation that does not result in a financial adjustment but alters other contractual parameters, such as:</w:t>
      </w:r>
    </w:p>
    <w:p w14:paraId="238214E1" w14:textId="7559B125" w:rsidR="002C00E5" w:rsidRPr="00766CE4" w:rsidRDefault="002C00E5" w:rsidP="00B60F11">
      <w:pPr>
        <w:pStyle w:val="ListParagraph"/>
        <w:numPr>
          <w:ilvl w:val="0"/>
          <w:numId w:val="35"/>
        </w:numPr>
        <w:spacing w:after="0" w:line="240" w:lineRule="auto"/>
        <w:rPr>
          <w:rFonts w:cs="Arial"/>
          <w:bCs/>
          <w:iCs/>
          <w:sz w:val="24"/>
          <w:szCs w:val="24"/>
        </w:rPr>
      </w:pPr>
      <w:r w:rsidRPr="00766CE4">
        <w:rPr>
          <w:rFonts w:cs="Arial"/>
          <w:bCs/>
          <w:iCs/>
          <w:sz w:val="24"/>
          <w:szCs w:val="24"/>
        </w:rPr>
        <w:t>Project timelines or milestones,</w:t>
      </w:r>
    </w:p>
    <w:p w14:paraId="5067C05F" w14:textId="0CEDD4E7" w:rsidR="002C00E5" w:rsidRPr="00766CE4" w:rsidRDefault="002C00E5" w:rsidP="00B60F11">
      <w:pPr>
        <w:pStyle w:val="ListParagraph"/>
        <w:numPr>
          <w:ilvl w:val="0"/>
          <w:numId w:val="35"/>
        </w:numPr>
        <w:spacing w:after="0" w:line="240" w:lineRule="auto"/>
        <w:rPr>
          <w:rFonts w:cs="Arial"/>
          <w:bCs/>
          <w:iCs/>
          <w:sz w:val="24"/>
          <w:szCs w:val="24"/>
        </w:rPr>
      </w:pPr>
      <w:r w:rsidRPr="00766CE4">
        <w:rPr>
          <w:rFonts w:cs="Arial"/>
          <w:bCs/>
          <w:iCs/>
          <w:sz w:val="24"/>
          <w:szCs w:val="24"/>
        </w:rPr>
        <w:t>Scope, specifications or design details,</w:t>
      </w:r>
    </w:p>
    <w:p w14:paraId="374BE50A" w14:textId="1B0D4A28" w:rsidR="002C00E5" w:rsidRPr="00766CE4" w:rsidRDefault="002C00E5" w:rsidP="00B60F11">
      <w:pPr>
        <w:pStyle w:val="ListParagraph"/>
        <w:numPr>
          <w:ilvl w:val="0"/>
          <w:numId w:val="35"/>
        </w:numPr>
        <w:spacing w:after="0" w:line="240" w:lineRule="auto"/>
        <w:rPr>
          <w:rFonts w:cs="Arial"/>
          <w:bCs/>
          <w:iCs/>
          <w:sz w:val="24"/>
          <w:szCs w:val="24"/>
        </w:rPr>
      </w:pPr>
      <w:r w:rsidRPr="00766CE4">
        <w:rPr>
          <w:rFonts w:cs="Arial"/>
          <w:bCs/>
          <w:iCs/>
          <w:sz w:val="24"/>
          <w:szCs w:val="24"/>
        </w:rPr>
        <w:t>Working hours or access arrangements,</w:t>
      </w:r>
    </w:p>
    <w:p w14:paraId="759E7304" w14:textId="67E2A8C3" w:rsidR="002C00E5" w:rsidRPr="00766CE4" w:rsidRDefault="002C00E5" w:rsidP="00B60F11">
      <w:pPr>
        <w:pStyle w:val="ListParagraph"/>
        <w:numPr>
          <w:ilvl w:val="0"/>
          <w:numId w:val="35"/>
        </w:numPr>
        <w:spacing w:after="0" w:line="240" w:lineRule="auto"/>
        <w:rPr>
          <w:rFonts w:cs="Arial"/>
          <w:bCs/>
          <w:iCs/>
          <w:sz w:val="24"/>
          <w:szCs w:val="24"/>
        </w:rPr>
      </w:pPr>
      <w:r w:rsidRPr="00766CE4">
        <w:rPr>
          <w:rFonts w:cs="Arial"/>
          <w:bCs/>
          <w:iCs/>
          <w:sz w:val="24"/>
          <w:szCs w:val="24"/>
        </w:rPr>
        <w:t>Location or quantity changes or</w:t>
      </w:r>
    </w:p>
    <w:p w14:paraId="79D75A68" w14:textId="7D711E92" w:rsidR="00FA31D3" w:rsidRPr="00766CE4" w:rsidRDefault="002C00E5" w:rsidP="00B60F11">
      <w:pPr>
        <w:pStyle w:val="ListParagraph"/>
        <w:numPr>
          <w:ilvl w:val="0"/>
          <w:numId w:val="35"/>
        </w:numPr>
        <w:spacing w:after="0" w:line="240" w:lineRule="auto"/>
        <w:contextualSpacing w:val="0"/>
        <w:rPr>
          <w:rFonts w:cs="Arial"/>
          <w:bCs/>
          <w:iCs/>
          <w:sz w:val="24"/>
          <w:szCs w:val="24"/>
        </w:rPr>
      </w:pPr>
      <w:r w:rsidRPr="00766CE4">
        <w:rPr>
          <w:rFonts w:cs="Arial"/>
          <w:bCs/>
          <w:iCs/>
          <w:sz w:val="24"/>
          <w:szCs w:val="24"/>
        </w:rPr>
        <w:t>Any other aspect of the contract provided it doesn’t impact cost</w:t>
      </w:r>
    </w:p>
    <w:p w14:paraId="64891CBC" w14:textId="77777777" w:rsidR="002C00E5" w:rsidRPr="00766CE4" w:rsidRDefault="002C00E5" w:rsidP="002C00E5">
      <w:pPr>
        <w:pStyle w:val="ListParagraph"/>
        <w:spacing w:after="0" w:line="240" w:lineRule="auto"/>
        <w:ind w:left="426"/>
        <w:contextualSpacing w:val="0"/>
        <w:rPr>
          <w:rFonts w:cs="Arial"/>
          <w:bCs/>
          <w:iCs/>
          <w:sz w:val="24"/>
          <w:szCs w:val="24"/>
        </w:rPr>
      </w:pPr>
    </w:p>
    <w:p w14:paraId="6894686F" w14:textId="6BFB1883" w:rsidR="00694501" w:rsidRPr="00766CE4" w:rsidRDefault="00694501" w:rsidP="00694501">
      <w:pPr>
        <w:pStyle w:val="ListParagraph"/>
        <w:spacing w:after="0" w:line="240" w:lineRule="auto"/>
        <w:ind w:left="426"/>
        <w:contextualSpacing w:val="0"/>
        <w:rPr>
          <w:rFonts w:cs="Arial"/>
          <w:sz w:val="24"/>
          <w:szCs w:val="24"/>
        </w:rPr>
      </w:pPr>
      <w:r w:rsidRPr="00766CE4">
        <w:rPr>
          <w:rFonts w:cs="Arial"/>
          <w:b/>
          <w:i/>
          <w:sz w:val="24"/>
          <w:szCs w:val="24"/>
        </w:rPr>
        <w:t xml:space="preserve">“Council Officer” </w:t>
      </w:r>
      <w:r w:rsidRPr="00766CE4">
        <w:rPr>
          <w:rFonts w:cs="Arial"/>
          <w:sz w:val="24"/>
          <w:szCs w:val="24"/>
        </w:rPr>
        <w:t xml:space="preserve">means any full or part time staff member of Council including temporary employees. </w:t>
      </w:r>
    </w:p>
    <w:p w14:paraId="20775C38" w14:textId="77777777" w:rsidR="00694501" w:rsidRPr="00766CE4" w:rsidRDefault="00694501" w:rsidP="00694501">
      <w:pPr>
        <w:pStyle w:val="ListParagraph"/>
        <w:spacing w:after="0" w:line="240" w:lineRule="auto"/>
        <w:ind w:left="426"/>
        <w:contextualSpacing w:val="0"/>
        <w:rPr>
          <w:rFonts w:cs="Arial"/>
          <w:sz w:val="24"/>
          <w:szCs w:val="24"/>
        </w:rPr>
      </w:pPr>
    </w:p>
    <w:p w14:paraId="5C2D67ED" w14:textId="3A0A071E" w:rsidR="00DD1500" w:rsidRPr="00766CE4" w:rsidRDefault="00DD1500" w:rsidP="00694501">
      <w:pPr>
        <w:pStyle w:val="ListParagraph"/>
        <w:spacing w:after="0" w:line="240" w:lineRule="auto"/>
        <w:ind w:left="426"/>
        <w:contextualSpacing w:val="0"/>
        <w:rPr>
          <w:rFonts w:cs="Arial"/>
          <w:sz w:val="24"/>
          <w:szCs w:val="24"/>
        </w:rPr>
      </w:pPr>
      <w:r w:rsidRPr="00766CE4">
        <w:rPr>
          <w:rFonts w:cs="Arial"/>
          <w:b/>
          <w:bCs/>
          <w:sz w:val="24"/>
          <w:szCs w:val="24"/>
        </w:rPr>
        <w:t>“Fraud”</w:t>
      </w:r>
      <w:r w:rsidRPr="00766CE4">
        <w:rPr>
          <w:rFonts w:cs="Arial"/>
          <w:sz w:val="24"/>
          <w:szCs w:val="24"/>
        </w:rPr>
        <w:t xml:space="preserve"> means deception resulting in financial or personal gain.</w:t>
      </w:r>
    </w:p>
    <w:p w14:paraId="546CDAC1" w14:textId="77777777" w:rsidR="00694501" w:rsidRPr="00766CE4" w:rsidRDefault="00694501" w:rsidP="00694501">
      <w:pPr>
        <w:pStyle w:val="ListParagraph"/>
        <w:spacing w:after="0" w:line="240" w:lineRule="auto"/>
        <w:ind w:left="426"/>
        <w:contextualSpacing w:val="0"/>
        <w:rPr>
          <w:rFonts w:cs="Arial"/>
          <w:sz w:val="24"/>
          <w:szCs w:val="24"/>
        </w:rPr>
      </w:pPr>
    </w:p>
    <w:p w14:paraId="6F10F182" w14:textId="4C37AAB6" w:rsidR="00694501" w:rsidRPr="00766CE4" w:rsidRDefault="00694501" w:rsidP="00694501">
      <w:pPr>
        <w:pStyle w:val="ListParagraph"/>
        <w:spacing w:after="0" w:line="240" w:lineRule="auto"/>
        <w:ind w:left="426"/>
        <w:contextualSpacing w:val="0"/>
        <w:rPr>
          <w:rFonts w:cs="Arial"/>
          <w:sz w:val="24"/>
          <w:szCs w:val="24"/>
        </w:rPr>
      </w:pPr>
      <w:r w:rsidRPr="00766CE4">
        <w:rPr>
          <w:rFonts w:cs="Arial"/>
          <w:sz w:val="24"/>
          <w:szCs w:val="24"/>
        </w:rPr>
        <w:t>“</w:t>
      </w:r>
      <w:r w:rsidRPr="00766CE4">
        <w:rPr>
          <w:rFonts w:cs="Arial"/>
          <w:b/>
          <w:bCs/>
          <w:sz w:val="24"/>
          <w:szCs w:val="24"/>
        </w:rPr>
        <w:t>M9</w:t>
      </w:r>
      <w:r w:rsidRPr="00766CE4">
        <w:rPr>
          <w:rFonts w:cs="Arial"/>
          <w:sz w:val="24"/>
          <w:szCs w:val="24"/>
        </w:rPr>
        <w:t>” means the M9 collaborative partnership between the Cities of Yarra, Melbourne, Port Phillip, Stonnington and Maribyrnong.</w:t>
      </w:r>
      <w:r w:rsidR="00DD5306" w:rsidRPr="00766CE4">
        <w:rPr>
          <w:rFonts w:cs="Arial"/>
          <w:sz w:val="24"/>
          <w:szCs w:val="24"/>
        </w:rPr>
        <w:t xml:space="preserve"> These are the M9 member Councils participating in joint procurement and shared services arrangements for the purposes of this Policy.</w:t>
      </w:r>
    </w:p>
    <w:p w14:paraId="780DE86E" w14:textId="77777777" w:rsidR="00694501" w:rsidRPr="00766CE4" w:rsidRDefault="00694501" w:rsidP="00694501">
      <w:pPr>
        <w:pStyle w:val="ListParagraph"/>
        <w:spacing w:after="0" w:line="240" w:lineRule="auto"/>
        <w:ind w:left="426"/>
        <w:contextualSpacing w:val="0"/>
        <w:rPr>
          <w:rFonts w:cs="Arial"/>
          <w:sz w:val="24"/>
          <w:szCs w:val="24"/>
        </w:rPr>
      </w:pPr>
    </w:p>
    <w:p w14:paraId="489ACCDB" w14:textId="77777777" w:rsidR="00694501" w:rsidRPr="00766CE4" w:rsidRDefault="00694501" w:rsidP="00694501">
      <w:pPr>
        <w:pStyle w:val="ListParagraph"/>
        <w:spacing w:after="0" w:line="240" w:lineRule="auto"/>
        <w:ind w:left="426"/>
        <w:contextualSpacing w:val="0"/>
        <w:rPr>
          <w:rFonts w:cs="Arial"/>
          <w:sz w:val="24"/>
          <w:szCs w:val="24"/>
        </w:rPr>
      </w:pPr>
      <w:r w:rsidRPr="00766CE4">
        <w:rPr>
          <w:rFonts w:cs="Arial"/>
          <w:b/>
          <w:bCs/>
          <w:i/>
          <w:iCs/>
          <w:sz w:val="24"/>
          <w:szCs w:val="24"/>
        </w:rPr>
        <w:t xml:space="preserve">“Indigenous Business” </w:t>
      </w:r>
      <w:r w:rsidRPr="00766CE4">
        <w:rPr>
          <w:rFonts w:cs="Arial"/>
          <w:sz w:val="24"/>
          <w:szCs w:val="24"/>
        </w:rPr>
        <w:t>As per Supply Nation’s definition, an Indigenous Business is one that is at least 50% owned by an Aboriginal or Torres Strait Islands person(s).</w:t>
      </w:r>
    </w:p>
    <w:p w14:paraId="75B1C200" w14:textId="77777777" w:rsidR="00694501" w:rsidRPr="00766CE4" w:rsidRDefault="00694501" w:rsidP="00694501">
      <w:pPr>
        <w:pStyle w:val="ListParagraph"/>
        <w:spacing w:after="0" w:line="240" w:lineRule="auto"/>
        <w:ind w:left="426"/>
        <w:contextualSpacing w:val="0"/>
        <w:rPr>
          <w:rFonts w:cs="Arial"/>
          <w:sz w:val="24"/>
          <w:szCs w:val="24"/>
        </w:rPr>
      </w:pPr>
    </w:p>
    <w:p w14:paraId="00E5FDD1" w14:textId="154CB63F" w:rsidR="001000A6" w:rsidRPr="00766CE4" w:rsidRDefault="0001623C" w:rsidP="0085533C">
      <w:pPr>
        <w:pStyle w:val="ListParagraph"/>
        <w:spacing w:after="0" w:line="240" w:lineRule="auto"/>
        <w:ind w:left="426"/>
        <w:contextualSpacing w:val="0"/>
        <w:rPr>
          <w:rFonts w:cs="Arial"/>
          <w:sz w:val="24"/>
          <w:szCs w:val="24"/>
        </w:rPr>
      </w:pPr>
      <w:r w:rsidRPr="00766CE4">
        <w:rPr>
          <w:rFonts w:cs="Arial"/>
          <w:b/>
          <w:bCs/>
          <w:i/>
          <w:iCs/>
          <w:sz w:val="24"/>
          <w:szCs w:val="24"/>
        </w:rPr>
        <w:t>“Local Supplier”</w:t>
      </w:r>
      <w:r w:rsidRPr="00766CE4">
        <w:rPr>
          <w:rFonts w:cs="Arial"/>
          <w:sz w:val="24"/>
          <w:szCs w:val="24"/>
        </w:rPr>
        <w:t xml:space="preserve"> is defined according to the tiered local preference model set out in section 7.3. For the purpose of this Policy, local suppliers are recognised at three tiers: Tier 1 (primary place of business within the Yarra municipality), Tier 2 (primary place of business within the M9 area), and Tier 3 (businesses outside the M9 area that make a documented commitment to local employment or subcontracting within the Yarra area as part of a contract).</w:t>
      </w:r>
    </w:p>
    <w:p w14:paraId="379D69C9" w14:textId="77777777" w:rsidR="00023AA8" w:rsidRPr="00766CE4" w:rsidRDefault="00023AA8" w:rsidP="00694501">
      <w:pPr>
        <w:pStyle w:val="ListParagraph"/>
        <w:spacing w:after="0" w:line="240" w:lineRule="auto"/>
        <w:ind w:left="426"/>
        <w:contextualSpacing w:val="0"/>
        <w:rPr>
          <w:rFonts w:cs="Arial"/>
          <w:b/>
          <w:i/>
          <w:sz w:val="24"/>
          <w:szCs w:val="24"/>
        </w:rPr>
      </w:pPr>
    </w:p>
    <w:p w14:paraId="3F6C6F0A" w14:textId="3130C90B" w:rsidR="00694501" w:rsidRPr="00766CE4" w:rsidRDefault="00694501" w:rsidP="00694501">
      <w:pPr>
        <w:pStyle w:val="ListParagraph"/>
        <w:spacing w:after="0" w:line="240" w:lineRule="auto"/>
        <w:ind w:left="426"/>
        <w:contextualSpacing w:val="0"/>
        <w:rPr>
          <w:rFonts w:cs="Arial"/>
          <w:sz w:val="24"/>
          <w:szCs w:val="24"/>
        </w:rPr>
      </w:pPr>
      <w:r w:rsidRPr="00766CE4">
        <w:rPr>
          <w:rFonts w:cs="Arial"/>
          <w:b/>
          <w:i/>
          <w:sz w:val="24"/>
          <w:szCs w:val="24"/>
        </w:rPr>
        <w:t xml:space="preserve">“Probity” </w:t>
      </w:r>
      <w:r w:rsidRPr="00766CE4">
        <w:rPr>
          <w:rFonts w:cs="Arial"/>
          <w:sz w:val="24"/>
          <w:szCs w:val="24"/>
        </w:rPr>
        <w:t>means uprightness, honesty, proper and ethical conduct and propriety in Council dealings.</w:t>
      </w:r>
    </w:p>
    <w:p w14:paraId="3DECA1FB" w14:textId="77777777" w:rsidR="00694501" w:rsidRPr="00766CE4" w:rsidRDefault="00694501" w:rsidP="00694501">
      <w:pPr>
        <w:pStyle w:val="ListParagraph"/>
        <w:spacing w:after="0" w:line="240" w:lineRule="auto"/>
        <w:ind w:left="426"/>
        <w:contextualSpacing w:val="0"/>
        <w:rPr>
          <w:rFonts w:cs="Arial"/>
          <w:b/>
          <w:i/>
          <w:sz w:val="24"/>
          <w:szCs w:val="24"/>
        </w:rPr>
      </w:pPr>
    </w:p>
    <w:p w14:paraId="3A0F01BC" w14:textId="0D19C3BE" w:rsidR="00694501" w:rsidRPr="00766CE4" w:rsidRDefault="00694501" w:rsidP="00694501">
      <w:pPr>
        <w:pStyle w:val="ListParagraph"/>
        <w:spacing w:after="0" w:line="240" w:lineRule="auto"/>
        <w:ind w:left="426"/>
        <w:contextualSpacing w:val="0"/>
        <w:rPr>
          <w:rFonts w:cs="Arial"/>
          <w:sz w:val="24"/>
          <w:szCs w:val="24"/>
        </w:rPr>
      </w:pPr>
      <w:r w:rsidRPr="00766CE4">
        <w:rPr>
          <w:rFonts w:cs="Arial"/>
          <w:b/>
          <w:i/>
          <w:sz w:val="24"/>
          <w:szCs w:val="24"/>
        </w:rPr>
        <w:t xml:space="preserve">“Procurement” </w:t>
      </w:r>
      <w:r w:rsidRPr="00766CE4">
        <w:rPr>
          <w:rFonts w:cs="Arial"/>
          <w:sz w:val="24"/>
          <w:szCs w:val="24"/>
        </w:rPr>
        <w:t>means the whole process of acquisition of external goods, services or works.  This process encapsulates the whole of life cycle from initial concept through to the end of the useful life of an asset (including disposal) or the end of a service or works contract.</w:t>
      </w:r>
    </w:p>
    <w:p w14:paraId="5DBA3CFC" w14:textId="77777777" w:rsidR="00D20357" w:rsidRPr="00766CE4" w:rsidRDefault="00D20357" w:rsidP="00694501">
      <w:pPr>
        <w:pStyle w:val="ListParagraph"/>
        <w:spacing w:after="0" w:line="240" w:lineRule="auto"/>
        <w:ind w:left="426"/>
        <w:contextualSpacing w:val="0"/>
        <w:rPr>
          <w:rFonts w:cs="Arial"/>
          <w:sz w:val="24"/>
          <w:szCs w:val="24"/>
        </w:rPr>
      </w:pPr>
    </w:p>
    <w:p w14:paraId="6E615A7A" w14:textId="16B9864B" w:rsidR="00D20357" w:rsidRPr="00766CE4" w:rsidRDefault="00D20357" w:rsidP="00694501">
      <w:pPr>
        <w:pStyle w:val="ListParagraph"/>
        <w:spacing w:after="0" w:line="240" w:lineRule="auto"/>
        <w:ind w:left="426"/>
        <w:contextualSpacing w:val="0"/>
        <w:rPr>
          <w:rFonts w:cs="Arial"/>
          <w:sz w:val="24"/>
          <w:szCs w:val="24"/>
        </w:rPr>
      </w:pPr>
      <w:r w:rsidRPr="00766CE4">
        <w:rPr>
          <w:rFonts w:cs="Arial"/>
          <w:b/>
          <w:bCs/>
          <w:i/>
          <w:iCs/>
          <w:sz w:val="24"/>
          <w:szCs w:val="24"/>
        </w:rPr>
        <w:t>“Procurement Manual”</w:t>
      </w:r>
      <w:r w:rsidRPr="00766CE4">
        <w:rPr>
          <w:rFonts w:cs="Arial"/>
          <w:sz w:val="24"/>
          <w:szCs w:val="24"/>
        </w:rPr>
        <w:t xml:space="preserve"> is a procedural document supporting the Procurement Policy, owned by the Strategic Procurement Branch.</w:t>
      </w:r>
    </w:p>
    <w:p w14:paraId="160BB531" w14:textId="4DD3A370" w:rsidR="00DD1500" w:rsidRPr="00766CE4" w:rsidRDefault="00DD1500" w:rsidP="00694501">
      <w:pPr>
        <w:pStyle w:val="ListParagraph"/>
        <w:spacing w:after="0" w:line="240" w:lineRule="auto"/>
        <w:ind w:left="426"/>
        <w:contextualSpacing w:val="0"/>
        <w:rPr>
          <w:rFonts w:cs="Arial"/>
          <w:sz w:val="24"/>
          <w:szCs w:val="24"/>
        </w:rPr>
      </w:pPr>
      <w:r w:rsidRPr="00766CE4">
        <w:rPr>
          <w:rFonts w:cs="Arial"/>
          <w:b/>
          <w:bCs/>
          <w:sz w:val="24"/>
          <w:szCs w:val="24"/>
        </w:rPr>
        <w:t>“Risk”</w:t>
      </w:r>
      <w:r w:rsidRPr="00766CE4">
        <w:rPr>
          <w:rFonts w:cs="Arial"/>
          <w:sz w:val="24"/>
          <w:szCs w:val="24"/>
        </w:rPr>
        <w:t xml:space="preserve"> means anything that could prevent Council from achieving its objectives. Risk may arise from an event, an action, or from a lack of action. It is measured in terms of consequences and likelihood.</w:t>
      </w:r>
    </w:p>
    <w:p w14:paraId="6CC2642F" w14:textId="77777777" w:rsidR="00694501" w:rsidRPr="00766CE4" w:rsidRDefault="00694501" w:rsidP="00694501">
      <w:pPr>
        <w:pStyle w:val="ListParagraph"/>
        <w:spacing w:after="0" w:line="240" w:lineRule="auto"/>
        <w:ind w:left="426"/>
        <w:contextualSpacing w:val="0"/>
        <w:rPr>
          <w:rFonts w:cs="Arial"/>
          <w:sz w:val="24"/>
          <w:szCs w:val="24"/>
        </w:rPr>
      </w:pPr>
    </w:p>
    <w:p w14:paraId="788A4593" w14:textId="3076FD6E" w:rsidR="00694501" w:rsidRPr="00766CE4" w:rsidRDefault="00694501" w:rsidP="00694501">
      <w:pPr>
        <w:pStyle w:val="ListParagraph"/>
        <w:spacing w:after="0" w:line="240" w:lineRule="auto"/>
        <w:ind w:left="426"/>
        <w:contextualSpacing w:val="0"/>
        <w:rPr>
          <w:rFonts w:cs="Arial"/>
          <w:sz w:val="24"/>
          <w:szCs w:val="24"/>
        </w:rPr>
      </w:pPr>
      <w:r w:rsidRPr="00766CE4">
        <w:rPr>
          <w:rFonts w:cs="Arial"/>
          <w:b/>
          <w:i/>
          <w:sz w:val="24"/>
          <w:szCs w:val="24"/>
        </w:rPr>
        <w:t xml:space="preserve">“Sustainability” </w:t>
      </w:r>
      <w:r w:rsidRPr="00766CE4">
        <w:rPr>
          <w:rFonts w:cs="Arial"/>
          <w:sz w:val="24"/>
          <w:szCs w:val="24"/>
        </w:rPr>
        <w:t>means activities that meet the needs of the present without compromising the ability of future generations to meet their needs.</w:t>
      </w:r>
    </w:p>
    <w:p w14:paraId="6B9C04D2" w14:textId="77777777" w:rsidR="00694501" w:rsidRPr="00766CE4" w:rsidRDefault="00694501" w:rsidP="00694501">
      <w:pPr>
        <w:pStyle w:val="ListParagraph"/>
        <w:spacing w:after="0" w:line="240" w:lineRule="auto"/>
        <w:contextualSpacing w:val="0"/>
        <w:rPr>
          <w:rFonts w:cs="Arial"/>
          <w:sz w:val="24"/>
          <w:szCs w:val="24"/>
        </w:rPr>
      </w:pPr>
    </w:p>
    <w:p w14:paraId="5B71E632" w14:textId="5FE541A5" w:rsidR="00694501" w:rsidRPr="00766CE4" w:rsidRDefault="00694501" w:rsidP="00694501">
      <w:pPr>
        <w:pStyle w:val="ListParagraph"/>
        <w:spacing w:after="0" w:line="240" w:lineRule="auto"/>
        <w:ind w:left="426"/>
        <w:contextualSpacing w:val="0"/>
        <w:rPr>
          <w:rFonts w:cs="Arial"/>
          <w:sz w:val="24"/>
          <w:szCs w:val="24"/>
        </w:rPr>
      </w:pPr>
      <w:r w:rsidRPr="00766CE4">
        <w:rPr>
          <w:rFonts w:cs="Arial"/>
          <w:b/>
          <w:i/>
          <w:sz w:val="24"/>
          <w:szCs w:val="24"/>
        </w:rPr>
        <w:t xml:space="preserve">“Tender process” </w:t>
      </w:r>
      <w:r w:rsidRPr="00766CE4">
        <w:rPr>
          <w:rFonts w:cs="Arial"/>
          <w:bCs/>
          <w:i/>
          <w:sz w:val="24"/>
          <w:szCs w:val="24"/>
        </w:rPr>
        <w:t>means</w:t>
      </w:r>
      <w:r w:rsidRPr="00766CE4">
        <w:rPr>
          <w:rFonts w:cs="Arial"/>
          <w:bCs/>
          <w:sz w:val="24"/>
          <w:szCs w:val="24"/>
        </w:rPr>
        <w:t xml:space="preserve"> th</w:t>
      </w:r>
      <w:r w:rsidRPr="00766CE4">
        <w:rPr>
          <w:rFonts w:cs="Arial"/>
          <w:sz w:val="24"/>
          <w:szCs w:val="24"/>
        </w:rPr>
        <w:t>e process from the planning stages to the awarding of a contract.  This includes the development of tender documentation, invitation to tender period, evaluation stage and recommendation of a preferred supplier/s.</w:t>
      </w:r>
    </w:p>
    <w:p w14:paraId="3B98FA62" w14:textId="77777777" w:rsidR="00694501" w:rsidRPr="00766CE4" w:rsidRDefault="00694501" w:rsidP="00694501">
      <w:pPr>
        <w:pStyle w:val="ListParagraph"/>
        <w:spacing w:after="0" w:line="240" w:lineRule="auto"/>
        <w:ind w:left="426"/>
        <w:contextualSpacing w:val="0"/>
        <w:rPr>
          <w:rFonts w:cs="Arial"/>
          <w:sz w:val="24"/>
          <w:szCs w:val="24"/>
        </w:rPr>
      </w:pPr>
    </w:p>
    <w:p w14:paraId="39275BC8" w14:textId="7B294B2B" w:rsidR="008263F7" w:rsidRPr="00766CE4" w:rsidRDefault="00C00BE5" w:rsidP="008263F7">
      <w:pPr>
        <w:pStyle w:val="ListParagraph"/>
        <w:spacing w:after="0" w:line="240" w:lineRule="auto"/>
        <w:ind w:left="426"/>
        <w:rPr>
          <w:rFonts w:cs="Arial"/>
          <w:sz w:val="24"/>
          <w:szCs w:val="24"/>
        </w:rPr>
      </w:pPr>
      <w:r w:rsidRPr="00766CE4">
        <w:rPr>
          <w:rFonts w:cs="Arial"/>
          <w:b/>
          <w:i/>
          <w:sz w:val="24"/>
          <w:szCs w:val="24"/>
        </w:rPr>
        <w:t xml:space="preserve">“Total Contract Value” </w:t>
      </w:r>
      <w:r w:rsidRPr="00766CE4">
        <w:rPr>
          <w:rFonts w:cs="Arial"/>
          <w:bCs/>
          <w:iCs/>
          <w:sz w:val="24"/>
          <w:szCs w:val="24"/>
        </w:rPr>
        <w:t>means t</w:t>
      </w:r>
      <w:r w:rsidRPr="00766CE4">
        <w:rPr>
          <w:rFonts w:cs="Arial"/>
          <w:bCs/>
          <w:sz w:val="24"/>
          <w:szCs w:val="24"/>
        </w:rPr>
        <w:t>h</w:t>
      </w:r>
      <w:r w:rsidRPr="00766CE4">
        <w:rPr>
          <w:rFonts w:cs="Arial"/>
          <w:sz w:val="24"/>
          <w:szCs w:val="24"/>
        </w:rPr>
        <w:t>e potential total value of the contract including:</w:t>
      </w:r>
    </w:p>
    <w:p w14:paraId="35F8ECBC" w14:textId="59BAD617" w:rsidR="008263F7" w:rsidRPr="00766CE4" w:rsidRDefault="008263F7" w:rsidP="00A72D13">
      <w:pPr>
        <w:pStyle w:val="ListParagraph"/>
        <w:numPr>
          <w:ilvl w:val="0"/>
          <w:numId w:val="33"/>
        </w:numPr>
        <w:spacing w:after="0" w:line="240" w:lineRule="auto"/>
        <w:rPr>
          <w:rFonts w:cs="Arial"/>
          <w:sz w:val="24"/>
          <w:szCs w:val="24"/>
        </w:rPr>
      </w:pPr>
      <w:r w:rsidRPr="00766CE4">
        <w:rPr>
          <w:rFonts w:cs="Arial"/>
          <w:sz w:val="24"/>
          <w:szCs w:val="24"/>
        </w:rPr>
        <w:t>costs for the full term of the contract, including any options for either party to extend the contract</w:t>
      </w:r>
    </w:p>
    <w:p w14:paraId="4ABB6830" w14:textId="1AF0764C" w:rsidR="008263F7" w:rsidRPr="00766CE4" w:rsidRDefault="008263F7" w:rsidP="00A72D13">
      <w:pPr>
        <w:pStyle w:val="ListParagraph"/>
        <w:numPr>
          <w:ilvl w:val="0"/>
          <w:numId w:val="33"/>
        </w:numPr>
        <w:spacing w:after="0" w:line="240" w:lineRule="auto"/>
        <w:rPr>
          <w:rFonts w:cs="Arial"/>
          <w:sz w:val="24"/>
          <w:szCs w:val="24"/>
        </w:rPr>
      </w:pPr>
      <w:r w:rsidRPr="00766CE4">
        <w:rPr>
          <w:rFonts w:cs="Arial"/>
          <w:sz w:val="24"/>
          <w:szCs w:val="24"/>
        </w:rPr>
        <w:t>anticipated contingency allowances or variations</w:t>
      </w:r>
    </w:p>
    <w:p w14:paraId="096EB217" w14:textId="4E7A7429" w:rsidR="00C00BE5" w:rsidRPr="00766CE4" w:rsidRDefault="008263F7" w:rsidP="00A72D13">
      <w:pPr>
        <w:pStyle w:val="ListParagraph"/>
        <w:numPr>
          <w:ilvl w:val="0"/>
          <w:numId w:val="33"/>
        </w:numPr>
        <w:spacing w:after="0" w:line="240" w:lineRule="auto"/>
        <w:contextualSpacing w:val="0"/>
        <w:rPr>
          <w:rFonts w:cs="Arial"/>
          <w:sz w:val="24"/>
          <w:szCs w:val="24"/>
        </w:rPr>
      </w:pPr>
      <w:r w:rsidRPr="00766CE4">
        <w:rPr>
          <w:rFonts w:cs="Arial"/>
          <w:sz w:val="24"/>
          <w:szCs w:val="24"/>
        </w:rPr>
        <w:t>all other known, anticipated and reasonably foreseeable costs.</w:t>
      </w:r>
    </w:p>
    <w:p w14:paraId="4EDD5FE2" w14:textId="77777777" w:rsidR="00C00BE5" w:rsidRPr="00766CE4" w:rsidRDefault="00C00BE5" w:rsidP="00694501">
      <w:pPr>
        <w:pStyle w:val="ListParagraph"/>
        <w:spacing w:after="0" w:line="240" w:lineRule="auto"/>
        <w:ind w:left="426"/>
        <w:contextualSpacing w:val="0"/>
        <w:rPr>
          <w:rFonts w:cs="Arial"/>
          <w:sz w:val="24"/>
          <w:szCs w:val="24"/>
        </w:rPr>
      </w:pPr>
    </w:p>
    <w:p w14:paraId="76CA62DB" w14:textId="3AF85864" w:rsidR="00694501" w:rsidRPr="00766CE4" w:rsidRDefault="00694501" w:rsidP="00694501">
      <w:pPr>
        <w:pStyle w:val="ListParagraph"/>
        <w:spacing w:after="0" w:line="240" w:lineRule="auto"/>
        <w:ind w:left="426"/>
        <w:contextualSpacing w:val="0"/>
        <w:rPr>
          <w:rFonts w:cs="Arial"/>
          <w:sz w:val="24"/>
          <w:szCs w:val="24"/>
        </w:rPr>
      </w:pPr>
      <w:r w:rsidRPr="00766CE4">
        <w:rPr>
          <w:rFonts w:cs="Arial"/>
          <w:b/>
          <w:i/>
          <w:sz w:val="24"/>
          <w:szCs w:val="24"/>
        </w:rPr>
        <w:t xml:space="preserve">“Value for Money” </w:t>
      </w:r>
      <w:r w:rsidR="00211FEA" w:rsidRPr="00766CE4">
        <w:rPr>
          <w:rFonts w:cs="Arial"/>
          <w:sz w:val="24"/>
          <w:szCs w:val="24"/>
        </w:rPr>
        <w:t>means achieving the best overall outcome for the community over the life of the goods, services or works procured, rather than simply selecting the lowest price. It requires a balanced assessment of financial, qualitative, risk and strategic factors in a way that is proportionate to the scale, complexity and importance of the procurement.</w:t>
      </w:r>
      <w:r w:rsidR="00211FEA" w:rsidRPr="00766CE4" w:rsidDel="00211FEA">
        <w:rPr>
          <w:rFonts w:cs="Arial"/>
          <w:b/>
          <w:i/>
          <w:sz w:val="24"/>
          <w:szCs w:val="24"/>
        </w:rPr>
        <w:t xml:space="preserve"> </w:t>
      </w:r>
    </w:p>
    <w:p w14:paraId="7E8C1F8D" w14:textId="1F80DB4B" w:rsidR="003233D3" w:rsidRPr="005F6A36" w:rsidRDefault="003233D3" w:rsidP="00694501">
      <w:pPr>
        <w:rPr>
          <w:sz w:val="21"/>
          <w:szCs w:val="21"/>
        </w:rPr>
      </w:pPr>
    </w:p>
    <w:p w14:paraId="34D23964" w14:textId="492A4B08" w:rsidR="00BB0584" w:rsidRPr="005F6A36" w:rsidRDefault="00BB0584" w:rsidP="00A324D3">
      <w:pPr>
        <w:pStyle w:val="Heading1"/>
        <w:keepLines/>
        <w:spacing w:before="480" w:after="0" w:line="276" w:lineRule="auto"/>
        <w:ind w:left="426"/>
      </w:pPr>
      <w:bookmarkStart w:id="1439" w:name="_Toc240536491"/>
      <w:r w:rsidRPr="005F6A36">
        <w:rPr>
          <w:sz w:val="36"/>
          <w:szCs w:val="36"/>
        </w:rPr>
        <w:t>Appendix A: Procurement Thresholds</w:t>
      </w:r>
      <w:bookmarkEnd w:id="1439"/>
    </w:p>
    <w:p w14:paraId="496ED33C" w14:textId="77777777" w:rsidR="007822A5" w:rsidRPr="00766CE4" w:rsidRDefault="007822A5">
      <w:pPr>
        <w:pStyle w:val="Caption"/>
        <w:rPr>
          <w:rFonts w:ascii="Arial" w:hAnsi="Arial"/>
          <w:kern w:val="2"/>
          <w:sz w:val="28"/>
          <w:szCs w:val="28"/>
          <w14:ligatures w14:val="standardContextual"/>
        </w:rPr>
      </w:pPr>
      <w:r w:rsidRPr="00766CE4">
        <w:rPr>
          <w:rFonts w:ascii="Arial" w:hAnsi="Arial"/>
          <w:sz w:val="28"/>
          <w:szCs w:val="28"/>
        </w:rPr>
        <w:t>Table 3: Procurement thresholds and minimum requirements</w:t>
      </w:r>
    </w:p>
    <w:tbl>
      <w:tblPr>
        <w:tblStyle w:val="TableGrid"/>
        <w:tblpPr w:leftFromText="180" w:rightFromText="180" w:vertAnchor="text" w:tblpX="426" w:tblpY="1"/>
        <w:tblOverlap w:val="never"/>
        <w:tblW w:w="9213" w:type="dxa"/>
        <w:tblLook w:val="04A0" w:firstRow="1" w:lastRow="0" w:firstColumn="1" w:lastColumn="0" w:noHBand="0" w:noVBand="1"/>
      </w:tblPr>
      <w:tblGrid>
        <w:gridCol w:w="1428"/>
        <w:gridCol w:w="2674"/>
        <w:gridCol w:w="1656"/>
        <w:gridCol w:w="1390"/>
        <w:gridCol w:w="2065"/>
      </w:tblGrid>
      <w:tr w:rsidR="00FB46C0" w:rsidRPr="00766CE4" w14:paraId="44BDFDFD" w14:textId="77777777" w:rsidTr="00C62842">
        <w:trPr>
          <w:cnfStyle w:val="100000000000" w:firstRow="1" w:lastRow="0" w:firstColumn="0" w:lastColumn="0" w:oddVBand="0" w:evenVBand="0" w:oddHBand="0" w:evenHBand="0" w:firstRowFirstColumn="0" w:firstRowLastColumn="0" w:lastRowFirstColumn="0" w:lastRowLastColumn="0"/>
          <w:tblHeader/>
        </w:trPr>
        <w:tc>
          <w:tcPr>
            <w:tcW w:w="1432" w:type="dxa"/>
            <w:vMerge w:val="restart"/>
            <w:shd w:val="clear" w:color="auto" w:fill="00B0F0"/>
          </w:tcPr>
          <w:p w14:paraId="0CEF0EAD" w14:textId="77777777" w:rsidR="00BB0584" w:rsidRPr="00766CE4" w:rsidRDefault="00BB0584" w:rsidP="00C62842">
            <w:pPr>
              <w:rPr>
                <w:color w:val="auto"/>
                <w:sz w:val="24"/>
                <w:szCs w:val="24"/>
              </w:rPr>
            </w:pPr>
            <w:r w:rsidRPr="00766CE4">
              <w:rPr>
                <w:color w:val="auto"/>
                <w:sz w:val="24"/>
                <w:szCs w:val="24"/>
              </w:rPr>
              <w:t>Total Contract Sum</w:t>
            </w:r>
          </w:p>
        </w:tc>
        <w:tc>
          <w:tcPr>
            <w:tcW w:w="5655" w:type="dxa"/>
            <w:gridSpan w:val="3"/>
            <w:shd w:val="clear" w:color="auto" w:fill="00B0F0"/>
            <w:vAlign w:val="center"/>
          </w:tcPr>
          <w:p w14:paraId="4A12C037" w14:textId="664A863B" w:rsidR="00BB0584" w:rsidRPr="00766CE4" w:rsidRDefault="00BB0584" w:rsidP="00C62842">
            <w:pPr>
              <w:jc w:val="center"/>
              <w:rPr>
                <w:b w:val="0"/>
                <w:color w:val="auto"/>
                <w:sz w:val="24"/>
                <w:szCs w:val="24"/>
              </w:rPr>
            </w:pPr>
            <w:r w:rsidRPr="00766CE4">
              <w:rPr>
                <w:color w:val="auto"/>
                <w:sz w:val="24"/>
                <w:szCs w:val="24"/>
              </w:rPr>
              <w:t>Procurement Activity</w:t>
            </w:r>
          </w:p>
          <w:p w14:paraId="4C64CEC1" w14:textId="77777777" w:rsidR="00BB0584" w:rsidRPr="00766CE4" w:rsidRDefault="00BB0584" w:rsidP="00C62842">
            <w:pPr>
              <w:jc w:val="center"/>
              <w:rPr>
                <w:color w:val="auto"/>
                <w:sz w:val="24"/>
                <w:szCs w:val="24"/>
              </w:rPr>
            </w:pPr>
            <w:r w:rsidRPr="00766CE4">
              <w:rPr>
                <w:color w:val="auto"/>
                <w:sz w:val="24"/>
                <w:szCs w:val="24"/>
              </w:rPr>
              <w:t>and Supplier Registers</w:t>
            </w:r>
          </w:p>
        </w:tc>
        <w:tc>
          <w:tcPr>
            <w:tcW w:w="2126" w:type="dxa"/>
            <w:shd w:val="clear" w:color="auto" w:fill="00B0F0"/>
            <w:vAlign w:val="center"/>
          </w:tcPr>
          <w:p w14:paraId="525C949C" w14:textId="42B79FB5" w:rsidR="00BB0584" w:rsidRPr="00766CE4" w:rsidDel="00B2653A" w:rsidRDefault="00BB0584" w:rsidP="00C62842">
            <w:pPr>
              <w:jc w:val="center"/>
              <w:rPr>
                <w:color w:val="auto"/>
                <w:sz w:val="24"/>
                <w:szCs w:val="24"/>
              </w:rPr>
            </w:pPr>
            <w:r w:rsidRPr="00766CE4">
              <w:rPr>
                <w:color w:val="auto"/>
                <w:sz w:val="24"/>
                <w:szCs w:val="24"/>
              </w:rPr>
              <w:t>Agency and Internal Panel Contracts</w:t>
            </w:r>
          </w:p>
        </w:tc>
      </w:tr>
      <w:tr w:rsidR="00385562" w:rsidRPr="00766CE4" w14:paraId="051E6A21" w14:textId="77777777" w:rsidTr="00C62842">
        <w:tc>
          <w:tcPr>
            <w:tcW w:w="1432" w:type="dxa"/>
            <w:vMerge/>
            <w:shd w:val="clear" w:color="auto" w:fill="00B0F0"/>
          </w:tcPr>
          <w:p w14:paraId="47C59A2B" w14:textId="77777777" w:rsidR="00BB0584" w:rsidRPr="00766CE4" w:rsidRDefault="00BB0584" w:rsidP="00C62842">
            <w:pPr>
              <w:rPr>
                <w:sz w:val="24"/>
                <w:szCs w:val="24"/>
              </w:rPr>
            </w:pPr>
          </w:p>
        </w:tc>
        <w:tc>
          <w:tcPr>
            <w:tcW w:w="2820" w:type="dxa"/>
            <w:shd w:val="clear" w:color="auto" w:fill="00B0F0"/>
          </w:tcPr>
          <w:p w14:paraId="02B83380" w14:textId="77777777" w:rsidR="00BB0584" w:rsidRPr="00766CE4" w:rsidRDefault="00BB0584" w:rsidP="00C62842">
            <w:pPr>
              <w:rPr>
                <w:sz w:val="24"/>
                <w:szCs w:val="24"/>
              </w:rPr>
            </w:pPr>
            <w:r w:rsidRPr="00766CE4">
              <w:rPr>
                <w:sz w:val="24"/>
                <w:szCs w:val="24"/>
              </w:rPr>
              <w:t xml:space="preserve">Procurement Method </w:t>
            </w:r>
          </w:p>
        </w:tc>
        <w:tc>
          <w:tcPr>
            <w:tcW w:w="1485" w:type="dxa"/>
            <w:shd w:val="clear" w:color="auto" w:fill="00B0F0"/>
          </w:tcPr>
          <w:p w14:paraId="6F9C5ABD" w14:textId="0D7783FB" w:rsidR="00BB0584" w:rsidRPr="00766CE4" w:rsidRDefault="00BB0584" w:rsidP="00C62842">
            <w:pPr>
              <w:rPr>
                <w:sz w:val="24"/>
                <w:szCs w:val="24"/>
              </w:rPr>
            </w:pPr>
            <w:r w:rsidRPr="00766CE4">
              <w:rPr>
                <w:sz w:val="24"/>
                <w:szCs w:val="24"/>
              </w:rPr>
              <w:t>Contract Management System (CMS)* entry required</w:t>
            </w:r>
          </w:p>
        </w:tc>
        <w:tc>
          <w:tcPr>
            <w:tcW w:w="1350" w:type="dxa"/>
            <w:shd w:val="clear" w:color="auto" w:fill="00B0F0"/>
          </w:tcPr>
          <w:p w14:paraId="5C51E911" w14:textId="77777777" w:rsidR="00BB0584" w:rsidRPr="00766CE4" w:rsidRDefault="00BB0584" w:rsidP="00C62842">
            <w:pPr>
              <w:rPr>
                <w:sz w:val="24"/>
                <w:szCs w:val="24"/>
              </w:rPr>
            </w:pPr>
            <w:r w:rsidRPr="00766CE4">
              <w:rPr>
                <w:sz w:val="24"/>
                <w:szCs w:val="24"/>
              </w:rPr>
              <w:t>Terms &amp; Conditions (T&amp;C)**</w:t>
            </w:r>
          </w:p>
        </w:tc>
        <w:tc>
          <w:tcPr>
            <w:tcW w:w="2126" w:type="dxa"/>
            <w:shd w:val="clear" w:color="auto" w:fill="00B0F0"/>
          </w:tcPr>
          <w:p w14:paraId="4D670B04" w14:textId="77777777" w:rsidR="00BB0584" w:rsidRPr="00766CE4" w:rsidRDefault="00BB0584" w:rsidP="00C62842">
            <w:pPr>
              <w:rPr>
                <w:sz w:val="24"/>
                <w:szCs w:val="24"/>
              </w:rPr>
            </w:pPr>
            <w:r w:rsidRPr="00766CE4">
              <w:rPr>
                <w:sz w:val="24"/>
                <w:szCs w:val="24"/>
              </w:rPr>
              <w:t>Procurement Method</w:t>
            </w:r>
          </w:p>
        </w:tc>
      </w:tr>
      <w:tr w:rsidR="00BB0584" w:rsidRPr="00766CE4" w14:paraId="25CA50BC" w14:textId="77777777" w:rsidTr="00C62842">
        <w:trPr>
          <w:cnfStyle w:val="000000010000" w:firstRow="0" w:lastRow="0" w:firstColumn="0" w:lastColumn="0" w:oddVBand="0" w:evenVBand="0" w:oddHBand="0" w:evenHBand="1" w:firstRowFirstColumn="0" w:firstRowLastColumn="0" w:lastRowFirstColumn="0" w:lastRowLastColumn="0"/>
        </w:trPr>
        <w:tc>
          <w:tcPr>
            <w:tcW w:w="1432" w:type="dxa"/>
          </w:tcPr>
          <w:p w14:paraId="7ADA2703" w14:textId="77777777" w:rsidR="00BB0584" w:rsidRPr="00766CE4" w:rsidRDefault="00BB0584" w:rsidP="00C62842">
            <w:pPr>
              <w:rPr>
                <w:sz w:val="24"/>
                <w:szCs w:val="24"/>
              </w:rPr>
            </w:pPr>
            <w:r w:rsidRPr="00766CE4">
              <w:rPr>
                <w:sz w:val="24"/>
                <w:szCs w:val="24"/>
              </w:rPr>
              <w:t>&lt;$5,000</w:t>
            </w:r>
          </w:p>
        </w:tc>
        <w:tc>
          <w:tcPr>
            <w:tcW w:w="2820" w:type="dxa"/>
          </w:tcPr>
          <w:p w14:paraId="75D01244" w14:textId="3D4ECF2A" w:rsidR="00BB0584" w:rsidRPr="00766CE4" w:rsidRDefault="00BB0584" w:rsidP="00C62842">
            <w:pPr>
              <w:rPr>
                <w:sz w:val="24"/>
                <w:szCs w:val="24"/>
              </w:rPr>
            </w:pPr>
            <w:r w:rsidRPr="00766CE4">
              <w:rPr>
                <w:sz w:val="24"/>
                <w:szCs w:val="24"/>
              </w:rPr>
              <w:t xml:space="preserve">Use Purchasing Card or Store Card if permitted type of purchase under </w:t>
            </w:r>
            <w:r w:rsidR="00B975F6" w:rsidRPr="00766CE4">
              <w:rPr>
                <w:sz w:val="24"/>
                <w:szCs w:val="24"/>
              </w:rPr>
              <w:t>Cor</w:t>
            </w:r>
            <w:r w:rsidR="0022379A" w:rsidRPr="00766CE4">
              <w:rPr>
                <w:sz w:val="24"/>
                <w:szCs w:val="24"/>
              </w:rPr>
              <w:t xml:space="preserve">porate </w:t>
            </w:r>
            <w:r w:rsidRPr="00766CE4">
              <w:rPr>
                <w:sz w:val="24"/>
                <w:szCs w:val="24"/>
              </w:rPr>
              <w:t>Credit Card Policy</w:t>
            </w:r>
          </w:p>
          <w:p w14:paraId="1E1792AE" w14:textId="5914A2C9" w:rsidR="00E813C2" w:rsidRPr="00766CE4" w:rsidRDefault="00D91309" w:rsidP="00C62842">
            <w:pPr>
              <w:rPr>
                <w:sz w:val="24"/>
                <w:szCs w:val="24"/>
              </w:rPr>
            </w:pPr>
            <w:r w:rsidRPr="00766CE4">
              <w:rPr>
                <w:sz w:val="24"/>
                <w:szCs w:val="24"/>
              </w:rPr>
              <w:t>Utilise approved local suppliers where practical</w:t>
            </w:r>
          </w:p>
        </w:tc>
        <w:tc>
          <w:tcPr>
            <w:tcW w:w="1485" w:type="dxa"/>
          </w:tcPr>
          <w:p w14:paraId="0962E8F8" w14:textId="77777777" w:rsidR="00BB0584" w:rsidRPr="00766CE4" w:rsidRDefault="00BB0584" w:rsidP="00C62842">
            <w:pPr>
              <w:rPr>
                <w:sz w:val="24"/>
                <w:szCs w:val="24"/>
              </w:rPr>
            </w:pPr>
            <w:r w:rsidRPr="00766CE4">
              <w:rPr>
                <w:sz w:val="24"/>
                <w:szCs w:val="24"/>
              </w:rPr>
              <w:t>No</w:t>
            </w:r>
          </w:p>
        </w:tc>
        <w:tc>
          <w:tcPr>
            <w:tcW w:w="1350" w:type="dxa"/>
          </w:tcPr>
          <w:p w14:paraId="329017B5" w14:textId="77777777" w:rsidR="00BB0584" w:rsidRPr="00766CE4" w:rsidRDefault="00BB0584" w:rsidP="00C62842">
            <w:pPr>
              <w:rPr>
                <w:sz w:val="24"/>
                <w:szCs w:val="24"/>
              </w:rPr>
            </w:pPr>
            <w:r w:rsidRPr="00766CE4">
              <w:rPr>
                <w:sz w:val="24"/>
                <w:szCs w:val="24"/>
              </w:rPr>
              <w:t>No</w:t>
            </w:r>
          </w:p>
        </w:tc>
        <w:tc>
          <w:tcPr>
            <w:tcW w:w="2126" w:type="dxa"/>
          </w:tcPr>
          <w:p w14:paraId="7AFA473B" w14:textId="77777777" w:rsidR="00BB0584" w:rsidRPr="00766CE4" w:rsidRDefault="00BB0584" w:rsidP="00C62842">
            <w:pPr>
              <w:rPr>
                <w:sz w:val="24"/>
                <w:szCs w:val="24"/>
              </w:rPr>
            </w:pPr>
            <w:r w:rsidRPr="00766CE4">
              <w:rPr>
                <w:sz w:val="24"/>
                <w:szCs w:val="24"/>
              </w:rPr>
              <w:t>Obtain at least 1 written quote</w:t>
            </w:r>
          </w:p>
          <w:p w14:paraId="5CEA5BA2" w14:textId="0E45A1B9" w:rsidR="00227389" w:rsidRPr="00766CE4" w:rsidRDefault="00227389" w:rsidP="00C62842">
            <w:pPr>
              <w:rPr>
                <w:sz w:val="24"/>
                <w:szCs w:val="24"/>
              </w:rPr>
            </w:pPr>
          </w:p>
        </w:tc>
      </w:tr>
      <w:tr w:rsidR="00BB0584" w:rsidRPr="00766CE4" w14:paraId="7D0584A5" w14:textId="77777777" w:rsidTr="00C62842">
        <w:tc>
          <w:tcPr>
            <w:tcW w:w="1432" w:type="dxa"/>
          </w:tcPr>
          <w:p w14:paraId="5D8811F0" w14:textId="77777777" w:rsidR="00BB0584" w:rsidRPr="00766CE4" w:rsidRDefault="00BB0584" w:rsidP="00C62842">
            <w:pPr>
              <w:rPr>
                <w:sz w:val="24"/>
                <w:szCs w:val="24"/>
              </w:rPr>
            </w:pPr>
            <w:r w:rsidRPr="00766CE4">
              <w:rPr>
                <w:sz w:val="24"/>
                <w:szCs w:val="24"/>
              </w:rPr>
              <w:t>$5,000 to &lt;$20,000</w:t>
            </w:r>
          </w:p>
        </w:tc>
        <w:tc>
          <w:tcPr>
            <w:tcW w:w="2820" w:type="dxa"/>
          </w:tcPr>
          <w:p w14:paraId="6248D02B" w14:textId="77777777" w:rsidR="00BB0584" w:rsidRPr="00766CE4" w:rsidRDefault="00BB0584" w:rsidP="00C62842">
            <w:pPr>
              <w:rPr>
                <w:sz w:val="24"/>
                <w:szCs w:val="24"/>
              </w:rPr>
            </w:pPr>
            <w:r w:rsidRPr="00766CE4">
              <w:rPr>
                <w:sz w:val="24"/>
                <w:szCs w:val="24"/>
              </w:rPr>
              <w:t>Obtain at least 1 written quote</w:t>
            </w:r>
          </w:p>
          <w:p w14:paraId="482515A1" w14:textId="3104D17A" w:rsidR="00A64DD0" w:rsidRPr="00766CE4" w:rsidRDefault="00D91309" w:rsidP="00C62842">
            <w:pPr>
              <w:rPr>
                <w:sz w:val="24"/>
                <w:szCs w:val="24"/>
              </w:rPr>
            </w:pPr>
            <w:r w:rsidRPr="00766CE4">
              <w:rPr>
                <w:sz w:val="24"/>
                <w:szCs w:val="24"/>
              </w:rPr>
              <w:t>Utilise approved local suppliers where practical</w:t>
            </w:r>
          </w:p>
        </w:tc>
        <w:tc>
          <w:tcPr>
            <w:tcW w:w="1485" w:type="dxa"/>
          </w:tcPr>
          <w:p w14:paraId="51BB9B7A" w14:textId="77777777" w:rsidR="00BB0584" w:rsidRPr="00766CE4" w:rsidRDefault="00BB0584" w:rsidP="00C62842">
            <w:pPr>
              <w:rPr>
                <w:sz w:val="24"/>
                <w:szCs w:val="24"/>
              </w:rPr>
            </w:pPr>
            <w:r w:rsidRPr="00766CE4">
              <w:rPr>
                <w:sz w:val="24"/>
                <w:szCs w:val="24"/>
              </w:rPr>
              <w:t>No</w:t>
            </w:r>
          </w:p>
        </w:tc>
        <w:tc>
          <w:tcPr>
            <w:tcW w:w="1350" w:type="dxa"/>
          </w:tcPr>
          <w:p w14:paraId="254876EE" w14:textId="1E4CC183" w:rsidR="00BB0584" w:rsidRPr="00766CE4" w:rsidRDefault="00CE6A11" w:rsidP="00C62842">
            <w:pPr>
              <w:rPr>
                <w:sz w:val="24"/>
                <w:szCs w:val="24"/>
              </w:rPr>
            </w:pPr>
            <w:r w:rsidRPr="00766CE4">
              <w:rPr>
                <w:sz w:val="24"/>
                <w:szCs w:val="24"/>
              </w:rPr>
              <w:t>Yes</w:t>
            </w:r>
          </w:p>
        </w:tc>
        <w:tc>
          <w:tcPr>
            <w:tcW w:w="2126" w:type="dxa"/>
          </w:tcPr>
          <w:p w14:paraId="6807599B" w14:textId="77777777" w:rsidR="00BB0584" w:rsidRPr="00766CE4" w:rsidRDefault="00BB0584" w:rsidP="00C62842">
            <w:pPr>
              <w:rPr>
                <w:sz w:val="24"/>
                <w:szCs w:val="24"/>
              </w:rPr>
            </w:pPr>
            <w:r w:rsidRPr="00766CE4">
              <w:rPr>
                <w:sz w:val="24"/>
                <w:szCs w:val="24"/>
              </w:rPr>
              <w:t>Obtain at least 1 written quote</w:t>
            </w:r>
          </w:p>
        </w:tc>
      </w:tr>
      <w:tr w:rsidR="00BB0584" w:rsidRPr="00766CE4" w14:paraId="28E77D03" w14:textId="77777777" w:rsidTr="00C62842">
        <w:trPr>
          <w:cnfStyle w:val="000000010000" w:firstRow="0" w:lastRow="0" w:firstColumn="0" w:lastColumn="0" w:oddVBand="0" w:evenVBand="0" w:oddHBand="0" w:evenHBand="1" w:firstRowFirstColumn="0" w:firstRowLastColumn="0" w:lastRowFirstColumn="0" w:lastRowLastColumn="0"/>
        </w:trPr>
        <w:tc>
          <w:tcPr>
            <w:tcW w:w="1432" w:type="dxa"/>
          </w:tcPr>
          <w:p w14:paraId="57BE9903" w14:textId="77777777" w:rsidR="00BB0584" w:rsidRPr="00766CE4" w:rsidRDefault="00BB0584" w:rsidP="00C62842">
            <w:pPr>
              <w:rPr>
                <w:sz w:val="24"/>
                <w:szCs w:val="24"/>
              </w:rPr>
            </w:pPr>
            <w:r w:rsidRPr="00766CE4">
              <w:rPr>
                <w:sz w:val="24"/>
                <w:szCs w:val="24"/>
              </w:rPr>
              <w:t>$20,000 to &lt;$50,000</w:t>
            </w:r>
          </w:p>
        </w:tc>
        <w:tc>
          <w:tcPr>
            <w:tcW w:w="2820" w:type="dxa"/>
          </w:tcPr>
          <w:p w14:paraId="25E8C81F" w14:textId="768D3E1B" w:rsidR="00BB0584" w:rsidRPr="00766CE4" w:rsidRDefault="00ED3961" w:rsidP="00C62842">
            <w:pPr>
              <w:rPr>
                <w:sz w:val="24"/>
                <w:szCs w:val="24"/>
              </w:rPr>
            </w:pPr>
            <w:r w:rsidRPr="00766CE4">
              <w:rPr>
                <w:sz w:val="24"/>
                <w:szCs w:val="24"/>
              </w:rPr>
              <w:t xml:space="preserve">Seek </w:t>
            </w:r>
            <w:r w:rsidR="00BB0584" w:rsidRPr="00766CE4">
              <w:rPr>
                <w:sz w:val="24"/>
                <w:szCs w:val="24"/>
              </w:rPr>
              <w:t>at least 2 written quotes</w:t>
            </w:r>
            <w:r w:rsidR="00765FE4" w:rsidRPr="00766CE4">
              <w:rPr>
                <w:sz w:val="24"/>
                <w:szCs w:val="24"/>
              </w:rPr>
              <w:t>. Maintain evidence of seeking 2 written quotes.</w:t>
            </w:r>
          </w:p>
          <w:p w14:paraId="4600F7A8" w14:textId="014B6FC8" w:rsidR="00212E64" w:rsidRPr="00766CE4" w:rsidRDefault="00212E64" w:rsidP="00C62842">
            <w:pPr>
              <w:rPr>
                <w:sz w:val="24"/>
                <w:szCs w:val="24"/>
              </w:rPr>
            </w:pPr>
            <w:r w:rsidRPr="00766CE4">
              <w:rPr>
                <w:sz w:val="24"/>
                <w:szCs w:val="24"/>
              </w:rPr>
              <w:t>Encouraged to obtain 1 quote from a local supplier where practical</w:t>
            </w:r>
          </w:p>
        </w:tc>
        <w:tc>
          <w:tcPr>
            <w:tcW w:w="1485" w:type="dxa"/>
          </w:tcPr>
          <w:p w14:paraId="2E29D3A1" w14:textId="77777777" w:rsidR="00BB0584" w:rsidRPr="00766CE4" w:rsidRDefault="00BB0584" w:rsidP="00C62842">
            <w:pPr>
              <w:rPr>
                <w:sz w:val="24"/>
                <w:szCs w:val="24"/>
              </w:rPr>
            </w:pPr>
            <w:r w:rsidRPr="00766CE4">
              <w:rPr>
                <w:sz w:val="24"/>
                <w:szCs w:val="24"/>
              </w:rPr>
              <w:t>Yes</w:t>
            </w:r>
          </w:p>
        </w:tc>
        <w:tc>
          <w:tcPr>
            <w:tcW w:w="1350" w:type="dxa"/>
          </w:tcPr>
          <w:p w14:paraId="15A89B09" w14:textId="6438CF48" w:rsidR="00BB0584" w:rsidRPr="00766CE4" w:rsidRDefault="00CE6A11" w:rsidP="00C62842">
            <w:pPr>
              <w:rPr>
                <w:sz w:val="24"/>
                <w:szCs w:val="24"/>
              </w:rPr>
            </w:pPr>
            <w:r w:rsidRPr="00766CE4">
              <w:rPr>
                <w:sz w:val="24"/>
                <w:szCs w:val="24"/>
              </w:rPr>
              <w:t>Yes</w:t>
            </w:r>
          </w:p>
        </w:tc>
        <w:tc>
          <w:tcPr>
            <w:tcW w:w="2126" w:type="dxa"/>
          </w:tcPr>
          <w:p w14:paraId="0050700E" w14:textId="1422C0BE" w:rsidR="00BB0584" w:rsidRPr="00766CE4" w:rsidRDefault="00BB0584" w:rsidP="00C62842">
            <w:pPr>
              <w:rPr>
                <w:sz w:val="24"/>
                <w:szCs w:val="24"/>
              </w:rPr>
            </w:pPr>
            <w:r w:rsidRPr="00766CE4">
              <w:rPr>
                <w:sz w:val="24"/>
                <w:szCs w:val="24"/>
              </w:rPr>
              <w:t xml:space="preserve">Obtain at least </w:t>
            </w:r>
            <w:r w:rsidR="008D2A42" w:rsidRPr="00766CE4">
              <w:rPr>
                <w:sz w:val="24"/>
                <w:szCs w:val="24"/>
              </w:rPr>
              <w:t>1</w:t>
            </w:r>
            <w:r w:rsidRPr="00766CE4">
              <w:rPr>
                <w:sz w:val="24"/>
                <w:szCs w:val="24"/>
              </w:rPr>
              <w:t xml:space="preserve"> written quote</w:t>
            </w:r>
            <w:r w:rsidR="008D2A42" w:rsidRPr="00766CE4">
              <w:rPr>
                <w:sz w:val="24"/>
                <w:szCs w:val="24"/>
              </w:rPr>
              <w:t>. Maintain evidence of seeking 2 written quotes.</w:t>
            </w:r>
          </w:p>
        </w:tc>
      </w:tr>
      <w:tr w:rsidR="00BB0584" w:rsidRPr="00766CE4" w14:paraId="119419F5" w14:textId="77777777" w:rsidTr="00C62842">
        <w:tc>
          <w:tcPr>
            <w:tcW w:w="1432" w:type="dxa"/>
          </w:tcPr>
          <w:p w14:paraId="53B3B135" w14:textId="77777777" w:rsidR="00BB0584" w:rsidRPr="00766CE4" w:rsidRDefault="00BB0584" w:rsidP="00C62842">
            <w:pPr>
              <w:rPr>
                <w:sz w:val="24"/>
                <w:szCs w:val="24"/>
              </w:rPr>
            </w:pPr>
            <w:r w:rsidRPr="00766CE4">
              <w:rPr>
                <w:sz w:val="24"/>
                <w:szCs w:val="24"/>
              </w:rPr>
              <w:t>$50,000 to &lt;$150,000</w:t>
            </w:r>
          </w:p>
        </w:tc>
        <w:tc>
          <w:tcPr>
            <w:tcW w:w="2820" w:type="dxa"/>
          </w:tcPr>
          <w:p w14:paraId="2B8F4F14" w14:textId="1448E96E" w:rsidR="00BB0584" w:rsidRPr="00766CE4" w:rsidRDefault="00ED3961" w:rsidP="00C62842">
            <w:pPr>
              <w:rPr>
                <w:sz w:val="24"/>
                <w:szCs w:val="24"/>
              </w:rPr>
            </w:pPr>
            <w:r w:rsidRPr="00766CE4">
              <w:rPr>
                <w:sz w:val="24"/>
                <w:szCs w:val="24"/>
              </w:rPr>
              <w:t xml:space="preserve">Seek </w:t>
            </w:r>
            <w:r w:rsidR="00BB0584" w:rsidRPr="00766CE4">
              <w:rPr>
                <w:sz w:val="24"/>
                <w:szCs w:val="24"/>
              </w:rPr>
              <w:t>at least 3 written quotes</w:t>
            </w:r>
            <w:r w:rsidR="00765FE4" w:rsidRPr="00766CE4">
              <w:rPr>
                <w:sz w:val="24"/>
                <w:szCs w:val="24"/>
              </w:rPr>
              <w:t>. Maintain evidence of seeking 3 written quotes.</w:t>
            </w:r>
          </w:p>
          <w:p w14:paraId="2FA233AB" w14:textId="6463B57D" w:rsidR="005950BF" w:rsidRPr="00766CE4" w:rsidRDefault="005950BF" w:rsidP="00C62842">
            <w:pPr>
              <w:rPr>
                <w:sz w:val="24"/>
                <w:szCs w:val="24"/>
              </w:rPr>
            </w:pPr>
            <w:r w:rsidRPr="00766CE4">
              <w:rPr>
                <w:sz w:val="24"/>
                <w:szCs w:val="24"/>
              </w:rPr>
              <w:t>Encouraged to obtain 1 quote from a local supplier where practical</w:t>
            </w:r>
          </w:p>
        </w:tc>
        <w:tc>
          <w:tcPr>
            <w:tcW w:w="1485" w:type="dxa"/>
          </w:tcPr>
          <w:p w14:paraId="7CA4F2CC" w14:textId="77777777" w:rsidR="00BB0584" w:rsidRPr="00766CE4" w:rsidRDefault="00BB0584" w:rsidP="00C62842">
            <w:pPr>
              <w:rPr>
                <w:sz w:val="24"/>
                <w:szCs w:val="24"/>
              </w:rPr>
            </w:pPr>
            <w:r w:rsidRPr="00766CE4">
              <w:rPr>
                <w:sz w:val="24"/>
                <w:szCs w:val="24"/>
              </w:rPr>
              <w:t>Yes</w:t>
            </w:r>
          </w:p>
        </w:tc>
        <w:tc>
          <w:tcPr>
            <w:tcW w:w="1350" w:type="dxa"/>
          </w:tcPr>
          <w:p w14:paraId="5F03677B" w14:textId="2115D12C" w:rsidR="00BB0584" w:rsidRPr="00766CE4" w:rsidRDefault="00CE6A11" w:rsidP="00C62842">
            <w:pPr>
              <w:rPr>
                <w:sz w:val="24"/>
                <w:szCs w:val="24"/>
              </w:rPr>
            </w:pPr>
            <w:r w:rsidRPr="00766CE4">
              <w:rPr>
                <w:sz w:val="24"/>
                <w:szCs w:val="24"/>
              </w:rPr>
              <w:t>Yes</w:t>
            </w:r>
          </w:p>
        </w:tc>
        <w:tc>
          <w:tcPr>
            <w:tcW w:w="2126" w:type="dxa"/>
          </w:tcPr>
          <w:p w14:paraId="20A5BEC4" w14:textId="47426512" w:rsidR="00BB0584" w:rsidRPr="00766CE4" w:rsidRDefault="00B85EB8" w:rsidP="00C62842">
            <w:pPr>
              <w:rPr>
                <w:sz w:val="24"/>
                <w:szCs w:val="24"/>
              </w:rPr>
            </w:pPr>
            <w:r w:rsidRPr="00766CE4">
              <w:rPr>
                <w:sz w:val="24"/>
                <w:szCs w:val="24"/>
              </w:rPr>
              <w:t>Obtain at least 1 written quote. Maintain evidence of seeking 3 written quotes.</w:t>
            </w:r>
          </w:p>
        </w:tc>
      </w:tr>
      <w:tr w:rsidR="00BB0584" w:rsidRPr="00766CE4" w14:paraId="64B63444" w14:textId="77777777" w:rsidTr="00C62842">
        <w:trPr>
          <w:cnfStyle w:val="000000010000" w:firstRow="0" w:lastRow="0" w:firstColumn="0" w:lastColumn="0" w:oddVBand="0" w:evenVBand="0" w:oddHBand="0" w:evenHBand="1" w:firstRowFirstColumn="0" w:firstRowLastColumn="0" w:lastRowFirstColumn="0" w:lastRowLastColumn="0"/>
        </w:trPr>
        <w:tc>
          <w:tcPr>
            <w:tcW w:w="1432" w:type="dxa"/>
          </w:tcPr>
          <w:p w14:paraId="79B47AAE" w14:textId="77777777" w:rsidR="00BB0584" w:rsidRPr="00766CE4" w:rsidRDefault="00BB0584" w:rsidP="00C62842">
            <w:pPr>
              <w:rPr>
                <w:sz w:val="24"/>
                <w:szCs w:val="24"/>
              </w:rPr>
            </w:pPr>
            <w:r w:rsidRPr="00766CE4">
              <w:rPr>
                <w:sz w:val="24"/>
                <w:szCs w:val="24"/>
              </w:rPr>
              <w:t>$150,000 to &lt;$300,000</w:t>
            </w:r>
          </w:p>
        </w:tc>
        <w:tc>
          <w:tcPr>
            <w:tcW w:w="2820" w:type="dxa"/>
          </w:tcPr>
          <w:p w14:paraId="0138D68E" w14:textId="77777777" w:rsidR="00BB0584" w:rsidRPr="00766CE4" w:rsidRDefault="00BB0584" w:rsidP="00C62842">
            <w:pPr>
              <w:rPr>
                <w:sz w:val="24"/>
                <w:szCs w:val="24"/>
              </w:rPr>
            </w:pPr>
            <w:r w:rsidRPr="00766CE4">
              <w:rPr>
                <w:sz w:val="24"/>
                <w:szCs w:val="24"/>
              </w:rPr>
              <w:t>Obtain at least 3 written quotes</w:t>
            </w:r>
          </w:p>
          <w:p w14:paraId="1BD36BA3" w14:textId="6036775E" w:rsidR="005950BF" w:rsidRPr="00766CE4" w:rsidRDefault="005950BF" w:rsidP="00C62842">
            <w:pPr>
              <w:rPr>
                <w:sz w:val="24"/>
                <w:szCs w:val="24"/>
              </w:rPr>
            </w:pPr>
            <w:r w:rsidRPr="00766CE4">
              <w:rPr>
                <w:sz w:val="24"/>
                <w:szCs w:val="24"/>
              </w:rPr>
              <w:t>Encouraged to obtain 1 quote from a local supplier where practical</w:t>
            </w:r>
          </w:p>
        </w:tc>
        <w:tc>
          <w:tcPr>
            <w:tcW w:w="1485" w:type="dxa"/>
          </w:tcPr>
          <w:p w14:paraId="18D4FA99" w14:textId="77777777" w:rsidR="00BB0584" w:rsidRPr="00766CE4" w:rsidRDefault="00BB0584" w:rsidP="00C62842">
            <w:pPr>
              <w:rPr>
                <w:sz w:val="24"/>
                <w:szCs w:val="24"/>
              </w:rPr>
            </w:pPr>
            <w:r w:rsidRPr="00766CE4">
              <w:rPr>
                <w:sz w:val="24"/>
                <w:szCs w:val="24"/>
              </w:rPr>
              <w:t>Yes</w:t>
            </w:r>
          </w:p>
        </w:tc>
        <w:tc>
          <w:tcPr>
            <w:tcW w:w="1350" w:type="dxa"/>
          </w:tcPr>
          <w:p w14:paraId="3D9E83C4" w14:textId="77777777" w:rsidR="00BB0584" w:rsidRPr="00766CE4" w:rsidRDefault="00BB0584" w:rsidP="00C62842">
            <w:pPr>
              <w:rPr>
                <w:sz w:val="24"/>
                <w:szCs w:val="24"/>
              </w:rPr>
            </w:pPr>
            <w:r w:rsidRPr="00766CE4">
              <w:rPr>
                <w:sz w:val="24"/>
                <w:szCs w:val="24"/>
              </w:rPr>
              <w:t>Yes</w:t>
            </w:r>
          </w:p>
        </w:tc>
        <w:tc>
          <w:tcPr>
            <w:tcW w:w="2126" w:type="dxa"/>
          </w:tcPr>
          <w:p w14:paraId="0531DB49" w14:textId="77777777" w:rsidR="00BB0584" w:rsidRPr="00766CE4" w:rsidRDefault="00BB0584" w:rsidP="00C62842">
            <w:pPr>
              <w:rPr>
                <w:sz w:val="24"/>
                <w:szCs w:val="24"/>
              </w:rPr>
            </w:pPr>
            <w:r w:rsidRPr="00766CE4">
              <w:rPr>
                <w:sz w:val="24"/>
                <w:szCs w:val="24"/>
              </w:rPr>
              <w:t>Obtain at least 3 written quotes</w:t>
            </w:r>
          </w:p>
        </w:tc>
      </w:tr>
      <w:tr w:rsidR="00BB0584" w:rsidRPr="00766CE4" w14:paraId="69E8F5C5" w14:textId="77777777" w:rsidTr="00C62842">
        <w:tc>
          <w:tcPr>
            <w:tcW w:w="1432" w:type="dxa"/>
          </w:tcPr>
          <w:p w14:paraId="3D00101C" w14:textId="77777777" w:rsidR="00BB0584" w:rsidRPr="00766CE4" w:rsidRDefault="00BB0584" w:rsidP="00C62842">
            <w:pPr>
              <w:rPr>
                <w:sz w:val="24"/>
                <w:szCs w:val="24"/>
              </w:rPr>
            </w:pPr>
            <w:r w:rsidRPr="00766CE4">
              <w:rPr>
                <w:sz w:val="24"/>
                <w:szCs w:val="24"/>
              </w:rPr>
              <w:t>$300,000 and above</w:t>
            </w:r>
          </w:p>
        </w:tc>
        <w:tc>
          <w:tcPr>
            <w:tcW w:w="2820" w:type="dxa"/>
          </w:tcPr>
          <w:p w14:paraId="4676E23B" w14:textId="77777777" w:rsidR="00BB0584" w:rsidRPr="00766CE4" w:rsidRDefault="00BB0584" w:rsidP="00C62842">
            <w:pPr>
              <w:rPr>
                <w:sz w:val="24"/>
                <w:szCs w:val="24"/>
              </w:rPr>
            </w:pPr>
            <w:r w:rsidRPr="00766CE4">
              <w:rPr>
                <w:sz w:val="24"/>
                <w:szCs w:val="24"/>
              </w:rPr>
              <w:t>Public tender</w:t>
            </w:r>
          </w:p>
        </w:tc>
        <w:tc>
          <w:tcPr>
            <w:tcW w:w="1485" w:type="dxa"/>
          </w:tcPr>
          <w:p w14:paraId="59D1C607" w14:textId="77777777" w:rsidR="00BB0584" w:rsidRPr="00766CE4" w:rsidRDefault="00BB0584" w:rsidP="00C62842">
            <w:pPr>
              <w:rPr>
                <w:sz w:val="24"/>
                <w:szCs w:val="24"/>
              </w:rPr>
            </w:pPr>
            <w:r w:rsidRPr="00766CE4">
              <w:rPr>
                <w:sz w:val="24"/>
                <w:szCs w:val="24"/>
              </w:rPr>
              <w:t>Yes</w:t>
            </w:r>
          </w:p>
        </w:tc>
        <w:tc>
          <w:tcPr>
            <w:tcW w:w="1350" w:type="dxa"/>
          </w:tcPr>
          <w:p w14:paraId="5FA6D727" w14:textId="77777777" w:rsidR="00BB0584" w:rsidRPr="00766CE4" w:rsidRDefault="00BB0584" w:rsidP="00C62842">
            <w:pPr>
              <w:rPr>
                <w:sz w:val="24"/>
                <w:szCs w:val="24"/>
              </w:rPr>
            </w:pPr>
            <w:r w:rsidRPr="00766CE4">
              <w:rPr>
                <w:sz w:val="24"/>
                <w:szCs w:val="24"/>
              </w:rPr>
              <w:t>Yes</w:t>
            </w:r>
          </w:p>
        </w:tc>
        <w:tc>
          <w:tcPr>
            <w:tcW w:w="2126" w:type="dxa"/>
          </w:tcPr>
          <w:p w14:paraId="1E98E07E" w14:textId="377EB59A" w:rsidR="00BB0584" w:rsidRPr="00766CE4" w:rsidRDefault="00BB0584" w:rsidP="00C62842">
            <w:pPr>
              <w:rPr>
                <w:sz w:val="24"/>
                <w:szCs w:val="24"/>
              </w:rPr>
            </w:pPr>
            <w:r w:rsidRPr="00766CE4">
              <w:rPr>
                <w:sz w:val="24"/>
                <w:szCs w:val="24"/>
              </w:rPr>
              <w:t>Obtain at least 3 written quotes</w:t>
            </w:r>
            <w:r w:rsidR="009625F7" w:rsidRPr="00766CE4">
              <w:rPr>
                <w:sz w:val="24"/>
                <w:szCs w:val="24"/>
              </w:rPr>
              <w:t xml:space="preserve"> (</w:t>
            </w:r>
            <w:r w:rsidR="009625F7" w:rsidRPr="00766CE4">
              <w:rPr>
                <w:b/>
                <w:bCs/>
                <w:sz w:val="24"/>
                <w:szCs w:val="24"/>
              </w:rPr>
              <w:t>Note 3</w:t>
            </w:r>
            <w:r w:rsidR="009625F7" w:rsidRPr="00766CE4">
              <w:rPr>
                <w:sz w:val="24"/>
                <w:szCs w:val="24"/>
              </w:rPr>
              <w:t>)</w:t>
            </w:r>
          </w:p>
        </w:tc>
      </w:tr>
    </w:tbl>
    <w:p w14:paraId="6AAA2E64" w14:textId="5511E5BB" w:rsidR="00E95E72" w:rsidRPr="005F6A36" w:rsidRDefault="00C62842" w:rsidP="007A4D70">
      <w:pPr>
        <w:pStyle w:val="Body"/>
        <w:spacing w:before="0" w:after="0"/>
        <w:ind w:left="426"/>
        <w:rPr>
          <w:rFonts w:ascii="Arial" w:hAnsi="Arial"/>
          <w:sz w:val="21"/>
          <w:szCs w:val="21"/>
        </w:rPr>
      </w:pPr>
      <w:r w:rsidRPr="005F6A36">
        <w:rPr>
          <w:rFonts w:ascii="Arial" w:hAnsi="Arial"/>
          <w:sz w:val="21"/>
          <w:szCs w:val="21"/>
        </w:rPr>
        <w:br w:type="textWrapping" w:clear="all"/>
      </w:r>
    </w:p>
    <w:p w14:paraId="01CC74F4" w14:textId="77777777" w:rsidR="009A1261" w:rsidRPr="005F6A36" w:rsidRDefault="009A1261" w:rsidP="00E95E72">
      <w:pPr>
        <w:pStyle w:val="Body"/>
        <w:spacing w:before="0" w:after="0"/>
        <w:ind w:left="426"/>
        <w:rPr>
          <w:rFonts w:ascii="Arial" w:hAnsi="Arial"/>
          <w:sz w:val="21"/>
          <w:szCs w:val="21"/>
        </w:rPr>
      </w:pPr>
    </w:p>
    <w:p w14:paraId="7338C07E" w14:textId="6AF2DB1A" w:rsidR="00E95E72" w:rsidRPr="00766CE4" w:rsidRDefault="00E95E72" w:rsidP="00E95E72">
      <w:pPr>
        <w:pStyle w:val="Body"/>
        <w:spacing w:before="0" w:after="0"/>
        <w:ind w:left="426"/>
        <w:rPr>
          <w:rFonts w:ascii="Arial" w:hAnsi="Arial"/>
          <w:b/>
          <w:bCs/>
          <w:sz w:val="24"/>
          <w:szCs w:val="24"/>
        </w:rPr>
      </w:pPr>
      <w:r w:rsidRPr="00766CE4">
        <w:rPr>
          <w:rFonts w:ascii="Arial" w:hAnsi="Arial"/>
          <w:b/>
          <w:bCs/>
          <w:sz w:val="24"/>
          <w:szCs w:val="24"/>
        </w:rPr>
        <w:t>Note 1:</w:t>
      </w:r>
    </w:p>
    <w:p w14:paraId="633DA50C" w14:textId="77777777" w:rsidR="00E95E72" w:rsidRPr="00766CE4" w:rsidRDefault="00E95E72" w:rsidP="00E95E72">
      <w:pPr>
        <w:pStyle w:val="Body"/>
        <w:spacing w:before="0" w:after="0"/>
        <w:ind w:left="426"/>
        <w:rPr>
          <w:rFonts w:ascii="Arial" w:hAnsi="Arial"/>
          <w:sz w:val="24"/>
          <w:szCs w:val="24"/>
        </w:rPr>
      </w:pPr>
      <w:r w:rsidRPr="00766CE4">
        <w:rPr>
          <w:rFonts w:ascii="Arial" w:hAnsi="Arial"/>
          <w:sz w:val="24"/>
          <w:szCs w:val="24"/>
        </w:rPr>
        <w:t>A minimum of two (2) members is required for a Tender Evaluation Panel for procurements valued between $20,000 and $50,000. For procurements exceeding $50,000, a minimum of three (3) members is required.</w:t>
      </w:r>
    </w:p>
    <w:p w14:paraId="4EF1A030" w14:textId="77777777" w:rsidR="00E95E72" w:rsidRPr="00766CE4" w:rsidRDefault="00E95E72" w:rsidP="00E95E72">
      <w:pPr>
        <w:pStyle w:val="Body"/>
        <w:spacing w:before="0" w:after="0"/>
        <w:ind w:left="426"/>
        <w:rPr>
          <w:rFonts w:ascii="Arial" w:hAnsi="Arial"/>
          <w:sz w:val="24"/>
          <w:szCs w:val="24"/>
        </w:rPr>
      </w:pPr>
    </w:p>
    <w:p w14:paraId="269B41AF" w14:textId="77777777" w:rsidR="00E95E72" w:rsidRPr="00766CE4" w:rsidRDefault="00E95E72" w:rsidP="00E95E72">
      <w:pPr>
        <w:pStyle w:val="Body"/>
        <w:spacing w:before="0" w:after="0"/>
        <w:ind w:left="426"/>
        <w:rPr>
          <w:rFonts w:ascii="Arial" w:hAnsi="Arial"/>
          <w:sz w:val="24"/>
          <w:szCs w:val="24"/>
        </w:rPr>
      </w:pPr>
      <w:r w:rsidRPr="00766CE4">
        <w:rPr>
          <w:rFonts w:ascii="Arial" w:hAnsi="Arial"/>
          <w:sz w:val="24"/>
          <w:szCs w:val="24"/>
        </w:rPr>
        <w:t>Where a contract is to be awarded by Council or the Chief Executive Officer (CEO), or where the procurement is assessed as high risk, high profile, or strategically significant (irrespective of value), the Tender Evaluation Panel must include at least one manager-level officer.</w:t>
      </w:r>
    </w:p>
    <w:p w14:paraId="2D338DCC" w14:textId="77777777" w:rsidR="00E95E72" w:rsidRPr="00766CE4" w:rsidRDefault="00E95E72" w:rsidP="00E95E72">
      <w:pPr>
        <w:pStyle w:val="Body"/>
        <w:spacing w:before="0" w:after="0"/>
        <w:ind w:left="426"/>
        <w:rPr>
          <w:rFonts w:ascii="Arial" w:hAnsi="Arial"/>
          <w:sz w:val="24"/>
          <w:szCs w:val="24"/>
        </w:rPr>
      </w:pPr>
    </w:p>
    <w:p w14:paraId="2DD39FEE" w14:textId="77777777" w:rsidR="00E95E72" w:rsidRPr="00766CE4" w:rsidRDefault="00E95E72" w:rsidP="00E95E72">
      <w:pPr>
        <w:pStyle w:val="Body"/>
        <w:spacing w:before="0" w:after="0"/>
        <w:ind w:left="426"/>
        <w:rPr>
          <w:rFonts w:ascii="Arial" w:hAnsi="Arial"/>
          <w:sz w:val="24"/>
          <w:szCs w:val="24"/>
        </w:rPr>
      </w:pPr>
      <w:r w:rsidRPr="00766CE4">
        <w:rPr>
          <w:rFonts w:ascii="Arial" w:hAnsi="Arial"/>
          <w:sz w:val="24"/>
          <w:szCs w:val="24"/>
        </w:rPr>
        <w:t>Panel composition should, where practicable, reflect gender diversity.</w:t>
      </w:r>
    </w:p>
    <w:p w14:paraId="2AAB389E" w14:textId="77777777" w:rsidR="00E95E72" w:rsidRPr="00766CE4" w:rsidRDefault="00E95E72" w:rsidP="00E95E72">
      <w:pPr>
        <w:pStyle w:val="Body"/>
        <w:spacing w:before="0" w:after="0"/>
        <w:ind w:left="426"/>
        <w:rPr>
          <w:rFonts w:ascii="Arial" w:hAnsi="Arial"/>
          <w:sz w:val="24"/>
          <w:szCs w:val="24"/>
        </w:rPr>
      </w:pPr>
    </w:p>
    <w:p w14:paraId="05A7BFFF" w14:textId="77777777" w:rsidR="00E95E72" w:rsidRPr="00766CE4" w:rsidRDefault="00E95E72" w:rsidP="00E95E72">
      <w:pPr>
        <w:pStyle w:val="Body"/>
        <w:spacing w:before="0" w:after="0"/>
        <w:ind w:left="426"/>
        <w:rPr>
          <w:rFonts w:ascii="Arial" w:hAnsi="Arial"/>
          <w:b/>
          <w:bCs/>
          <w:sz w:val="24"/>
          <w:szCs w:val="24"/>
        </w:rPr>
      </w:pPr>
      <w:r w:rsidRPr="00766CE4">
        <w:rPr>
          <w:rFonts w:ascii="Arial" w:hAnsi="Arial"/>
          <w:b/>
          <w:bCs/>
          <w:sz w:val="24"/>
          <w:szCs w:val="24"/>
        </w:rPr>
        <w:t>Note 2:</w:t>
      </w:r>
    </w:p>
    <w:p w14:paraId="0F7D4EC4" w14:textId="77777777" w:rsidR="00E95E72" w:rsidRPr="00766CE4" w:rsidRDefault="00E95E72" w:rsidP="00E95E72">
      <w:pPr>
        <w:pStyle w:val="Body"/>
        <w:spacing w:before="0" w:after="0"/>
        <w:ind w:left="426"/>
        <w:rPr>
          <w:rFonts w:ascii="Arial" w:hAnsi="Arial"/>
          <w:sz w:val="24"/>
          <w:szCs w:val="24"/>
        </w:rPr>
      </w:pPr>
      <w:r w:rsidRPr="00766CE4">
        <w:rPr>
          <w:rFonts w:ascii="Arial" w:hAnsi="Arial"/>
          <w:sz w:val="24"/>
          <w:szCs w:val="24"/>
        </w:rPr>
        <w:t>Depending on market conditions, additional suppliers may need to be approached to achieve the minimum required number of quotations. Where the market is unable or unlikely to provide the required number of quotes, officers must refer to the exemptions process outlined in Section 3.6.</w:t>
      </w:r>
    </w:p>
    <w:p w14:paraId="5543605C" w14:textId="77777777" w:rsidR="00E95E72" w:rsidRPr="00766CE4" w:rsidRDefault="00E95E72" w:rsidP="00E95E72">
      <w:pPr>
        <w:pStyle w:val="Body"/>
        <w:spacing w:before="0" w:after="0"/>
        <w:ind w:left="426"/>
        <w:rPr>
          <w:rFonts w:ascii="Arial" w:hAnsi="Arial"/>
          <w:sz w:val="24"/>
          <w:szCs w:val="24"/>
        </w:rPr>
      </w:pPr>
    </w:p>
    <w:p w14:paraId="269C5757" w14:textId="202B8EA0" w:rsidR="009625F7" w:rsidRPr="00766CE4" w:rsidRDefault="009625F7" w:rsidP="009625F7">
      <w:pPr>
        <w:pStyle w:val="Body"/>
        <w:spacing w:before="0" w:after="0"/>
        <w:ind w:left="426"/>
        <w:rPr>
          <w:rFonts w:ascii="Arial" w:hAnsi="Arial"/>
          <w:b/>
          <w:bCs/>
          <w:sz w:val="24"/>
          <w:szCs w:val="24"/>
        </w:rPr>
      </w:pPr>
      <w:r w:rsidRPr="00766CE4">
        <w:rPr>
          <w:rFonts w:ascii="Arial" w:hAnsi="Arial"/>
          <w:b/>
          <w:bCs/>
          <w:sz w:val="24"/>
          <w:szCs w:val="24"/>
        </w:rPr>
        <w:t>Note 3:</w:t>
      </w:r>
    </w:p>
    <w:p w14:paraId="18EBBC1D" w14:textId="501DB378" w:rsidR="009625F7" w:rsidRPr="00766CE4" w:rsidRDefault="00F4795F" w:rsidP="00E95E72">
      <w:pPr>
        <w:pStyle w:val="Body"/>
        <w:spacing w:before="0" w:after="0"/>
        <w:ind w:left="426"/>
        <w:rPr>
          <w:rFonts w:ascii="Arial" w:hAnsi="Arial"/>
          <w:sz w:val="24"/>
          <w:szCs w:val="24"/>
        </w:rPr>
      </w:pPr>
      <w:r w:rsidRPr="00766CE4">
        <w:rPr>
          <w:rFonts w:ascii="Arial" w:hAnsi="Arial"/>
          <w:sz w:val="24"/>
          <w:szCs w:val="24"/>
        </w:rPr>
        <w:t>Panel and agency contracts are established through a public tendering process for engagements above $300,000. Once a panel is established, quote requirements continue to apply to each individual engagement made under the panel or agency contract arrangement.</w:t>
      </w:r>
    </w:p>
    <w:p w14:paraId="02EFDC4D" w14:textId="77777777" w:rsidR="00F4795F" w:rsidRPr="00766CE4" w:rsidRDefault="00F4795F" w:rsidP="00E95E72">
      <w:pPr>
        <w:pStyle w:val="Body"/>
        <w:spacing w:before="0" w:after="0"/>
        <w:ind w:left="426"/>
        <w:rPr>
          <w:rFonts w:ascii="Arial" w:hAnsi="Arial"/>
          <w:sz w:val="24"/>
          <w:szCs w:val="24"/>
        </w:rPr>
      </w:pPr>
    </w:p>
    <w:p w14:paraId="14D49B3E" w14:textId="77777777" w:rsidR="00E95E72" w:rsidRPr="00766CE4" w:rsidRDefault="00E95E72" w:rsidP="00E95E72">
      <w:pPr>
        <w:pStyle w:val="Body"/>
        <w:spacing w:before="0" w:after="0"/>
        <w:ind w:left="426"/>
        <w:rPr>
          <w:rFonts w:ascii="Arial" w:hAnsi="Arial"/>
          <w:b/>
          <w:bCs/>
          <w:sz w:val="24"/>
          <w:szCs w:val="24"/>
        </w:rPr>
      </w:pPr>
      <w:r w:rsidRPr="00766CE4">
        <w:rPr>
          <w:rFonts w:ascii="Arial" w:hAnsi="Arial"/>
          <w:b/>
          <w:bCs/>
          <w:sz w:val="24"/>
          <w:szCs w:val="24"/>
        </w:rPr>
        <w:t>Abbreviations:</w:t>
      </w:r>
    </w:p>
    <w:p w14:paraId="3B5449A1" w14:textId="77777777" w:rsidR="00E95E72" w:rsidRPr="00766CE4" w:rsidRDefault="00E95E72" w:rsidP="00E95E72">
      <w:pPr>
        <w:pStyle w:val="Body"/>
        <w:spacing w:before="0" w:after="0"/>
        <w:ind w:left="426"/>
        <w:rPr>
          <w:rFonts w:ascii="Arial" w:hAnsi="Arial"/>
          <w:sz w:val="24"/>
          <w:szCs w:val="24"/>
        </w:rPr>
      </w:pPr>
      <w:r w:rsidRPr="00766CE4">
        <w:rPr>
          <w:rFonts w:ascii="Arial" w:hAnsi="Arial"/>
          <w:sz w:val="24"/>
          <w:szCs w:val="24"/>
        </w:rPr>
        <w:t>•</w:t>
      </w:r>
      <w:r w:rsidRPr="00766CE4">
        <w:rPr>
          <w:rFonts w:ascii="Arial" w:hAnsi="Arial"/>
          <w:sz w:val="24"/>
          <w:szCs w:val="24"/>
        </w:rPr>
        <w:tab/>
        <w:t xml:space="preserve">CMS – Contract Management System  </w:t>
      </w:r>
    </w:p>
    <w:p w14:paraId="797F7106" w14:textId="2B99707E" w:rsidR="00E95E72" w:rsidRPr="00766CE4" w:rsidRDefault="00E95E72" w:rsidP="00E95E72">
      <w:pPr>
        <w:pStyle w:val="Body"/>
        <w:spacing w:before="0" w:after="0"/>
        <w:ind w:left="426"/>
        <w:rPr>
          <w:rFonts w:ascii="Arial" w:hAnsi="Arial"/>
          <w:sz w:val="24"/>
          <w:szCs w:val="24"/>
        </w:rPr>
      </w:pPr>
      <w:r w:rsidRPr="00766CE4">
        <w:rPr>
          <w:rFonts w:ascii="Arial" w:hAnsi="Arial"/>
          <w:sz w:val="24"/>
          <w:szCs w:val="24"/>
        </w:rPr>
        <w:t>•</w:t>
      </w:r>
      <w:r w:rsidRPr="00766CE4">
        <w:rPr>
          <w:rFonts w:ascii="Arial" w:hAnsi="Arial"/>
          <w:sz w:val="24"/>
          <w:szCs w:val="24"/>
        </w:rPr>
        <w:tab/>
        <w:t>T&amp;C – Terms and Conditions (refer to Section 4.10)</w:t>
      </w:r>
    </w:p>
    <w:p w14:paraId="22F796E9" w14:textId="77777777" w:rsidR="009A1261" w:rsidRPr="005F6A36" w:rsidRDefault="009A1261" w:rsidP="00E95E72">
      <w:pPr>
        <w:pStyle w:val="Body"/>
        <w:spacing w:before="0" w:after="0"/>
        <w:ind w:left="426"/>
        <w:rPr>
          <w:rFonts w:ascii="Arial" w:hAnsi="Arial"/>
        </w:rPr>
      </w:pPr>
    </w:p>
    <w:p w14:paraId="4711CD4B" w14:textId="77777777" w:rsidR="009A1261" w:rsidRPr="005F6A36" w:rsidRDefault="009A1261" w:rsidP="00E95E72">
      <w:pPr>
        <w:pStyle w:val="Body"/>
        <w:spacing w:before="0" w:after="0"/>
        <w:ind w:left="426"/>
        <w:rPr>
          <w:rFonts w:ascii="Arial" w:hAnsi="Arial"/>
        </w:rPr>
      </w:pPr>
    </w:p>
    <w:p w14:paraId="60DB7332" w14:textId="391BA339" w:rsidR="00133269" w:rsidRPr="005F6A36" w:rsidRDefault="00133269" w:rsidP="00133269">
      <w:pPr>
        <w:pStyle w:val="Heading1"/>
        <w:keepLines/>
        <w:spacing w:before="480" w:after="0" w:line="276" w:lineRule="auto"/>
        <w:ind w:left="426"/>
        <w:rPr>
          <w:sz w:val="36"/>
          <w:szCs w:val="36"/>
        </w:rPr>
      </w:pPr>
      <w:bookmarkStart w:id="1440" w:name="_Toc240536492"/>
      <w:r w:rsidRPr="005F6A36">
        <w:rPr>
          <w:sz w:val="36"/>
          <w:szCs w:val="36"/>
        </w:rPr>
        <w:t>Appendix B: Contract Variation and Renewal Approval Authorities</w:t>
      </w:r>
      <w:bookmarkEnd w:id="1440"/>
    </w:p>
    <w:p w14:paraId="793CDD60" w14:textId="77777777" w:rsidR="00DC249A" w:rsidRPr="005F6A36" w:rsidRDefault="00DC249A" w:rsidP="00DC249A">
      <w:pPr>
        <w:rPr>
          <w:sz w:val="21"/>
          <w:szCs w:val="21"/>
        </w:rPr>
      </w:pPr>
    </w:p>
    <w:tbl>
      <w:tblPr>
        <w:tblW w:w="8930" w:type="dxa"/>
        <w:tblInd w:w="421" w:type="dxa"/>
        <w:tblBorders>
          <w:top w:val="single" w:sz="4" w:space="0" w:color="006CCD" w:themeColor="accent2"/>
          <w:left w:val="single" w:sz="4" w:space="0" w:color="006CCD" w:themeColor="accent2"/>
          <w:bottom w:val="single" w:sz="4" w:space="0" w:color="006CCD" w:themeColor="accent2"/>
          <w:right w:val="single" w:sz="4" w:space="0" w:color="006CCD" w:themeColor="accent2"/>
          <w:insideH w:val="single" w:sz="4" w:space="0" w:color="006CCD" w:themeColor="accent2"/>
          <w:insideV w:val="single" w:sz="4" w:space="0" w:color="006CCD" w:themeColor="accent2"/>
        </w:tblBorders>
        <w:tblCellMar>
          <w:left w:w="0" w:type="dxa"/>
          <w:right w:w="0" w:type="dxa"/>
        </w:tblCellMar>
        <w:tblLook w:val="01E0" w:firstRow="1" w:lastRow="1" w:firstColumn="1" w:lastColumn="1" w:noHBand="0" w:noVBand="0"/>
      </w:tblPr>
      <w:tblGrid>
        <w:gridCol w:w="2483"/>
        <w:gridCol w:w="6447"/>
      </w:tblGrid>
      <w:tr w:rsidR="00DC249A" w:rsidRPr="00766CE4" w14:paraId="1B1C7E16" w14:textId="77777777" w:rsidTr="00176D78">
        <w:trPr>
          <w:trHeight w:val="687"/>
          <w:tblHeader/>
        </w:trPr>
        <w:tc>
          <w:tcPr>
            <w:tcW w:w="2483" w:type="dxa"/>
            <w:shd w:val="clear" w:color="auto" w:fill="00B0F0"/>
          </w:tcPr>
          <w:p w14:paraId="2F059BF8" w14:textId="77777777" w:rsidR="00DC249A" w:rsidRPr="00766CE4" w:rsidRDefault="00DC249A" w:rsidP="00A17C90">
            <w:pPr>
              <w:pStyle w:val="TableParagraph"/>
              <w:spacing w:before="133"/>
              <w:ind w:left="131"/>
              <w:rPr>
                <w:rFonts w:cs="Arial"/>
                <w:b/>
                <w:sz w:val="24"/>
                <w:szCs w:val="24"/>
              </w:rPr>
            </w:pPr>
            <w:r w:rsidRPr="00766CE4">
              <w:rPr>
                <w:rFonts w:cs="Arial"/>
                <w:b/>
                <w:sz w:val="24"/>
                <w:szCs w:val="24"/>
              </w:rPr>
              <w:t xml:space="preserve">Position Title </w:t>
            </w:r>
          </w:p>
        </w:tc>
        <w:tc>
          <w:tcPr>
            <w:tcW w:w="6447" w:type="dxa"/>
            <w:shd w:val="clear" w:color="auto" w:fill="00B0F0"/>
          </w:tcPr>
          <w:p w14:paraId="57777BD5" w14:textId="77777777" w:rsidR="00DC249A" w:rsidRPr="00766CE4" w:rsidRDefault="00DC249A" w:rsidP="00A17C90">
            <w:pPr>
              <w:pStyle w:val="TableParagraph"/>
              <w:spacing w:before="133"/>
              <w:ind w:left="273"/>
              <w:rPr>
                <w:rFonts w:cs="Arial"/>
                <w:b/>
                <w:sz w:val="24"/>
                <w:szCs w:val="24"/>
              </w:rPr>
            </w:pPr>
            <w:r w:rsidRPr="00766CE4">
              <w:rPr>
                <w:rFonts w:cs="Arial"/>
                <w:b/>
                <w:sz w:val="24"/>
                <w:szCs w:val="24"/>
              </w:rPr>
              <w:t>Financial Contract Variation (</w:t>
            </w:r>
            <w:r w:rsidR="00A64C93" w:rsidRPr="00766CE4">
              <w:rPr>
                <w:rFonts w:cs="Arial"/>
                <w:b/>
                <w:sz w:val="24"/>
                <w:szCs w:val="24"/>
              </w:rPr>
              <w:t>non-pre-</w:t>
            </w:r>
            <w:r w:rsidRPr="00766CE4">
              <w:rPr>
                <w:rFonts w:cs="Arial"/>
                <w:b/>
                <w:sz w:val="24"/>
                <w:szCs w:val="24"/>
              </w:rPr>
              <w:t xml:space="preserve">approved) and Renewals Approval Limit </w:t>
            </w:r>
          </w:p>
          <w:p w14:paraId="053D48BF" w14:textId="6E26A3E5" w:rsidR="00C62842" w:rsidRPr="00766CE4" w:rsidRDefault="00C62842" w:rsidP="00A17C90">
            <w:pPr>
              <w:pStyle w:val="TableParagraph"/>
              <w:spacing w:before="133"/>
              <w:ind w:left="273"/>
              <w:rPr>
                <w:rFonts w:cs="Arial"/>
                <w:b/>
                <w:sz w:val="24"/>
                <w:szCs w:val="24"/>
              </w:rPr>
            </w:pPr>
          </w:p>
        </w:tc>
      </w:tr>
      <w:tr w:rsidR="00976ADB" w:rsidRPr="00766CE4" w14:paraId="3502B0A6" w14:textId="77777777" w:rsidTr="00176D78">
        <w:trPr>
          <w:trHeight w:val="585"/>
        </w:trPr>
        <w:tc>
          <w:tcPr>
            <w:tcW w:w="2483" w:type="dxa"/>
          </w:tcPr>
          <w:p w14:paraId="06C89767" w14:textId="1EC9ED61" w:rsidR="00976ADB" w:rsidRPr="00766CE4" w:rsidRDefault="00976ADB" w:rsidP="00A17C90">
            <w:pPr>
              <w:pStyle w:val="TableParagraph"/>
              <w:tabs>
                <w:tab w:val="left" w:pos="468"/>
              </w:tabs>
              <w:spacing w:line="270" w:lineRule="atLeast"/>
              <w:ind w:right="91"/>
              <w:rPr>
                <w:rFonts w:cs="Arial"/>
                <w:sz w:val="24"/>
                <w:szCs w:val="24"/>
              </w:rPr>
            </w:pPr>
            <w:r w:rsidRPr="00766CE4">
              <w:rPr>
                <w:rFonts w:cs="Arial"/>
                <w:sz w:val="24"/>
                <w:szCs w:val="24"/>
              </w:rPr>
              <w:t>CEO</w:t>
            </w:r>
          </w:p>
        </w:tc>
        <w:tc>
          <w:tcPr>
            <w:tcW w:w="6447" w:type="dxa"/>
          </w:tcPr>
          <w:p w14:paraId="5864FB1F" w14:textId="565DE751" w:rsidR="00976ADB" w:rsidRPr="00766CE4" w:rsidRDefault="006A502F" w:rsidP="00A17C90">
            <w:pPr>
              <w:pStyle w:val="ListParagraph"/>
              <w:widowControl w:val="0"/>
              <w:spacing w:after="0" w:line="278" w:lineRule="auto"/>
              <w:ind w:left="273"/>
              <w:rPr>
                <w:rFonts w:cs="Arial"/>
                <w:sz w:val="24"/>
                <w:szCs w:val="24"/>
              </w:rPr>
            </w:pPr>
            <w:r w:rsidRPr="00766CE4">
              <w:rPr>
                <w:rFonts w:cs="Arial"/>
                <w:sz w:val="24"/>
                <w:szCs w:val="24"/>
              </w:rPr>
              <w:t>Cumulative variations &gt;20% of contract award value, where the cumulative dollar value does not exceed $750,000</w:t>
            </w:r>
          </w:p>
        </w:tc>
      </w:tr>
      <w:tr w:rsidR="00DC249A" w:rsidRPr="00766CE4" w14:paraId="140E1AB9" w14:textId="77777777" w:rsidTr="00176D78">
        <w:trPr>
          <w:trHeight w:val="579"/>
        </w:trPr>
        <w:tc>
          <w:tcPr>
            <w:tcW w:w="2483" w:type="dxa"/>
          </w:tcPr>
          <w:p w14:paraId="29573C95" w14:textId="77777777" w:rsidR="00DC249A" w:rsidRPr="00766CE4" w:rsidRDefault="00DC249A" w:rsidP="00A17C90">
            <w:pPr>
              <w:pStyle w:val="TableParagraph"/>
              <w:tabs>
                <w:tab w:val="left" w:pos="468"/>
              </w:tabs>
              <w:spacing w:line="270" w:lineRule="atLeast"/>
              <w:ind w:right="91"/>
              <w:rPr>
                <w:rFonts w:cs="Arial"/>
                <w:sz w:val="24"/>
                <w:szCs w:val="24"/>
              </w:rPr>
            </w:pPr>
            <w:r w:rsidRPr="00766CE4">
              <w:rPr>
                <w:rFonts w:cs="Arial"/>
                <w:sz w:val="24"/>
                <w:szCs w:val="24"/>
              </w:rPr>
              <w:t xml:space="preserve">Elected Council </w:t>
            </w:r>
          </w:p>
        </w:tc>
        <w:tc>
          <w:tcPr>
            <w:tcW w:w="6447" w:type="dxa"/>
          </w:tcPr>
          <w:p w14:paraId="4C52803A" w14:textId="133BFF45" w:rsidR="00DC249A" w:rsidRPr="00766CE4" w:rsidRDefault="00B40503" w:rsidP="00A17C90">
            <w:pPr>
              <w:pStyle w:val="ListParagraph"/>
              <w:widowControl w:val="0"/>
              <w:spacing w:after="0" w:line="278" w:lineRule="auto"/>
              <w:ind w:left="273"/>
              <w:rPr>
                <w:rFonts w:cs="Arial"/>
                <w:sz w:val="24"/>
                <w:szCs w:val="24"/>
              </w:rPr>
            </w:pPr>
            <w:r w:rsidRPr="00766CE4">
              <w:rPr>
                <w:rFonts w:cs="Arial"/>
                <w:sz w:val="24"/>
                <w:szCs w:val="24"/>
              </w:rPr>
              <w:t>Cumulative variations &gt;20% of contract award value and the cumulative dollar value exceed $750,000</w:t>
            </w:r>
          </w:p>
        </w:tc>
      </w:tr>
    </w:tbl>
    <w:p w14:paraId="0009B87A" w14:textId="674B6C48" w:rsidR="00E20695" w:rsidRPr="005F6A36" w:rsidRDefault="00E20695" w:rsidP="00E20695">
      <w:pPr>
        <w:rPr>
          <w:sz w:val="21"/>
          <w:szCs w:val="21"/>
        </w:rPr>
      </w:pPr>
    </w:p>
    <w:p w14:paraId="3FF696BA" w14:textId="5B6A8AA4" w:rsidR="000F0E62" w:rsidRPr="00766CE4" w:rsidRDefault="00C8185F" w:rsidP="000F0E62">
      <w:pPr>
        <w:pStyle w:val="Body"/>
        <w:spacing w:before="0" w:after="0"/>
        <w:ind w:left="426"/>
        <w:rPr>
          <w:rFonts w:ascii="Arial" w:hAnsi="Arial"/>
          <w:sz w:val="24"/>
          <w:szCs w:val="24"/>
        </w:rPr>
      </w:pPr>
      <w:r w:rsidRPr="00766CE4">
        <w:rPr>
          <w:rFonts w:ascii="Arial" w:hAnsi="Arial"/>
          <w:sz w:val="24"/>
          <w:szCs w:val="24"/>
        </w:rPr>
        <w:t>Note: CEO or Council may direct the business unit to re-Tender any contract if supplier performance and value for money can’t be demonstrated</w:t>
      </w:r>
      <w:r w:rsidR="00A64C93" w:rsidRPr="00766CE4">
        <w:rPr>
          <w:rFonts w:ascii="Arial" w:hAnsi="Arial"/>
          <w:sz w:val="24"/>
          <w:szCs w:val="24"/>
        </w:rPr>
        <w:t>.</w:t>
      </w:r>
      <w:r w:rsidRPr="00766CE4">
        <w:rPr>
          <w:rFonts w:ascii="Arial" w:hAnsi="Arial"/>
          <w:sz w:val="24"/>
          <w:szCs w:val="24"/>
        </w:rPr>
        <w:br/>
      </w:r>
    </w:p>
    <w:p w14:paraId="1665FF63" w14:textId="77777777" w:rsidR="00480F0A" w:rsidRPr="00766CE4" w:rsidRDefault="00480F0A" w:rsidP="00480F0A">
      <w:pPr>
        <w:pStyle w:val="Body"/>
        <w:spacing w:before="0" w:after="0"/>
        <w:ind w:left="426"/>
        <w:rPr>
          <w:rFonts w:ascii="Arial" w:hAnsi="Arial"/>
          <w:sz w:val="24"/>
          <w:szCs w:val="24"/>
        </w:rPr>
      </w:pPr>
      <w:r w:rsidRPr="00766CE4">
        <w:rPr>
          <w:rFonts w:ascii="Arial" w:hAnsi="Arial"/>
          <w:sz w:val="24"/>
          <w:szCs w:val="24"/>
        </w:rPr>
        <w:t xml:space="preserve">Total Contract Value means the estimated total value of a contract over its full term. This includes the initial contract period, </w:t>
      </w:r>
      <w:r w:rsidRPr="00766CE4">
        <w:rPr>
          <w:rFonts w:ascii="Arial" w:hAnsi="Arial"/>
          <w:b/>
          <w:bCs/>
          <w:sz w:val="24"/>
          <w:szCs w:val="24"/>
        </w:rPr>
        <w:t>any extension or renewal options</w:t>
      </w:r>
      <w:r w:rsidRPr="00766CE4">
        <w:rPr>
          <w:rFonts w:ascii="Arial" w:hAnsi="Arial"/>
          <w:sz w:val="24"/>
          <w:szCs w:val="24"/>
        </w:rPr>
        <w:t>, contingency allowances, and any other reasonably foreseeable costs associated with the contract.</w:t>
      </w:r>
    </w:p>
    <w:p w14:paraId="6203331C" w14:textId="77777777" w:rsidR="00480F0A" w:rsidRPr="00766CE4" w:rsidRDefault="00480F0A" w:rsidP="00480F0A">
      <w:pPr>
        <w:pStyle w:val="Body"/>
        <w:spacing w:before="0" w:after="0"/>
        <w:ind w:left="426"/>
        <w:rPr>
          <w:rFonts w:ascii="Arial" w:hAnsi="Arial"/>
          <w:sz w:val="24"/>
          <w:szCs w:val="24"/>
        </w:rPr>
      </w:pPr>
    </w:p>
    <w:p w14:paraId="2FCC9137" w14:textId="77777777" w:rsidR="00480F0A" w:rsidRPr="00766CE4" w:rsidRDefault="00480F0A" w:rsidP="00480F0A">
      <w:pPr>
        <w:pStyle w:val="Body"/>
        <w:spacing w:before="0" w:after="0"/>
        <w:ind w:left="426"/>
        <w:rPr>
          <w:rFonts w:ascii="Arial" w:hAnsi="Arial"/>
          <w:sz w:val="24"/>
          <w:szCs w:val="24"/>
        </w:rPr>
      </w:pPr>
      <w:r w:rsidRPr="00766CE4">
        <w:rPr>
          <w:rFonts w:ascii="Arial" w:hAnsi="Arial"/>
          <w:sz w:val="24"/>
          <w:szCs w:val="24"/>
        </w:rPr>
        <w:t>The Total Contract Value must be clearly stated in the tender report and approved by the appropriate delegate in accordance with Council’s delegation framework.</w:t>
      </w:r>
    </w:p>
    <w:p w14:paraId="55EBAEDD" w14:textId="77777777" w:rsidR="00480F0A" w:rsidRPr="00766CE4" w:rsidRDefault="00480F0A" w:rsidP="00480F0A">
      <w:pPr>
        <w:pStyle w:val="Body"/>
        <w:spacing w:before="0" w:after="0"/>
        <w:ind w:left="426"/>
        <w:rPr>
          <w:rFonts w:ascii="Arial" w:hAnsi="Arial"/>
          <w:sz w:val="24"/>
          <w:szCs w:val="24"/>
        </w:rPr>
      </w:pPr>
    </w:p>
    <w:p w14:paraId="4DA043DA" w14:textId="7CB6D974" w:rsidR="00480F0A" w:rsidRPr="00766CE4" w:rsidRDefault="00480F0A" w:rsidP="00480F0A">
      <w:pPr>
        <w:pStyle w:val="Body"/>
        <w:spacing w:before="0" w:after="0"/>
        <w:ind w:left="426"/>
        <w:rPr>
          <w:rFonts w:ascii="Arial" w:hAnsi="Arial"/>
          <w:sz w:val="24"/>
          <w:szCs w:val="24"/>
        </w:rPr>
      </w:pPr>
      <w:r w:rsidRPr="00766CE4">
        <w:rPr>
          <w:rFonts w:ascii="Arial" w:hAnsi="Arial"/>
          <w:sz w:val="24"/>
          <w:szCs w:val="24"/>
        </w:rPr>
        <w:t>Where a contract is approved through a tender report</w:t>
      </w:r>
      <w:r w:rsidR="002662AC" w:rsidRPr="00766CE4">
        <w:rPr>
          <w:rFonts w:ascii="Arial" w:hAnsi="Arial"/>
          <w:sz w:val="24"/>
          <w:szCs w:val="24"/>
        </w:rPr>
        <w:t xml:space="preserve"> with the Council Resolution</w:t>
      </w:r>
      <w:r w:rsidRPr="00766CE4">
        <w:rPr>
          <w:rFonts w:ascii="Arial" w:hAnsi="Arial"/>
          <w:sz w:val="24"/>
          <w:szCs w:val="24"/>
        </w:rPr>
        <w:t>, the approval will include the contract term and any renewal options. Unless otherwise specified by the approving delegate</w:t>
      </w:r>
      <w:r w:rsidRPr="00766CE4">
        <w:rPr>
          <w:rFonts w:ascii="Arial" w:hAnsi="Arial"/>
          <w:b/>
          <w:bCs/>
          <w:sz w:val="24"/>
          <w:szCs w:val="24"/>
        </w:rPr>
        <w:t>, the renewal options are considered approved as part of the original decision</w:t>
      </w:r>
      <w:r w:rsidRPr="00766CE4">
        <w:rPr>
          <w:rFonts w:ascii="Arial" w:hAnsi="Arial"/>
          <w:sz w:val="24"/>
          <w:szCs w:val="24"/>
        </w:rPr>
        <w:t>.</w:t>
      </w:r>
    </w:p>
    <w:p w14:paraId="4185B167" w14:textId="77777777" w:rsidR="00370580" w:rsidRPr="00766CE4" w:rsidRDefault="00370580" w:rsidP="00480F0A">
      <w:pPr>
        <w:pStyle w:val="Body"/>
        <w:spacing w:before="0" w:after="0"/>
        <w:ind w:left="426"/>
        <w:rPr>
          <w:rFonts w:ascii="Arial" w:hAnsi="Arial"/>
          <w:sz w:val="24"/>
          <w:szCs w:val="24"/>
        </w:rPr>
      </w:pPr>
    </w:p>
    <w:p w14:paraId="3EA7B5C8" w14:textId="582FD55C" w:rsidR="00370580" w:rsidRPr="00766CE4" w:rsidRDefault="00370580" w:rsidP="00480F0A">
      <w:pPr>
        <w:pStyle w:val="Body"/>
        <w:spacing w:before="0" w:after="0"/>
        <w:ind w:left="426"/>
        <w:rPr>
          <w:rFonts w:ascii="Arial" w:hAnsi="Arial"/>
          <w:sz w:val="24"/>
          <w:szCs w:val="24"/>
        </w:rPr>
      </w:pPr>
      <w:r w:rsidRPr="00766CE4">
        <w:rPr>
          <w:rFonts w:ascii="Arial" w:hAnsi="Arial"/>
          <w:sz w:val="24"/>
          <w:szCs w:val="24"/>
        </w:rPr>
        <w:t>The CEO may elect to delegate the decision to renew</w:t>
      </w:r>
      <w:r w:rsidR="00A54A48" w:rsidRPr="00766CE4">
        <w:rPr>
          <w:rFonts w:ascii="Arial" w:hAnsi="Arial"/>
          <w:sz w:val="24"/>
          <w:szCs w:val="24"/>
        </w:rPr>
        <w:t xml:space="preserve"> or vary</w:t>
      </w:r>
      <w:r w:rsidRPr="00766CE4">
        <w:rPr>
          <w:rFonts w:ascii="Arial" w:hAnsi="Arial"/>
          <w:sz w:val="24"/>
          <w:szCs w:val="24"/>
        </w:rPr>
        <w:t xml:space="preserve"> a contract under their approval limit to the relevant General Manage</w:t>
      </w:r>
      <w:r w:rsidR="00DB7200" w:rsidRPr="00766CE4">
        <w:rPr>
          <w:rFonts w:ascii="Arial" w:hAnsi="Arial"/>
          <w:sz w:val="24"/>
          <w:szCs w:val="24"/>
        </w:rPr>
        <w:t>r</w:t>
      </w:r>
      <w:r w:rsidR="00A54A48" w:rsidRPr="00766CE4">
        <w:rPr>
          <w:rFonts w:ascii="Arial" w:hAnsi="Arial"/>
          <w:sz w:val="24"/>
          <w:szCs w:val="24"/>
        </w:rPr>
        <w:t xml:space="preserve"> as long as the impact is within the delegated authority for that position.</w:t>
      </w:r>
    </w:p>
    <w:p w14:paraId="511E685A" w14:textId="77777777" w:rsidR="000F0E62" w:rsidRDefault="000F0E62" w:rsidP="000F0E62">
      <w:pPr>
        <w:pStyle w:val="Body"/>
        <w:spacing w:before="0" w:after="0"/>
        <w:ind w:left="426"/>
        <w:rPr>
          <w:rFonts w:ascii="Arial" w:hAnsi="Arial"/>
          <w:sz w:val="24"/>
          <w:szCs w:val="24"/>
        </w:rPr>
      </w:pPr>
    </w:p>
    <w:p w14:paraId="6D9956D9" w14:textId="77777777" w:rsidR="00C273EE" w:rsidRDefault="00C273EE" w:rsidP="000F0E62">
      <w:pPr>
        <w:pStyle w:val="Body"/>
        <w:spacing w:before="0" w:after="0"/>
        <w:ind w:left="426"/>
        <w:rPr>
          <w:rFonts w:ascii="Arial" w:hAnsi="Arial"/>
          <w:sz w:val="24"/>
          <w:szCs w:val="24"/>
        </w:rPr>
      </w:pPr>
    </w:p>
    <w:p w14:paraId="2407D255" w14:textId="77777777" w:rsidR="00C273EE" w:rsidRDefault="00C273EE" w:rsidP="000F0E62">
      <w:pPr>
        <w:pStyle w:val="Body"/>
        <w:spacing w:before="0" w:after="0"/>
        <w:ind w:left="426"/>
        <w:rPr>
          <w:rFonts w:ascii="Arial" w:hAnsi="Arial"/>
          <w:sz w:val="24"/>
          <w:szCs w:val="24"/>
        </w:rPr>
      </w:pPr>
    </w:p>
    <w:p w14:paraId="6E0E4E22" w14:textId="77777777" w:rsidR="00C273EE" w:rsidRDefault="00C273EE" w:rsidP="000F0E62">
      <w:pPr>
        <w:pStyle w:val="Body"/>
        <w:spacing w:before="0" w:after="0"/>
        <w:ind w:left="426"/>
        <w:rPr>
          <w:rFonts w:ascii="Arial" w:hAnsi="Arial"/>
          <w:sz w:val="24"/>
          <w:szCs w:val="24"/>
        </w:rPr>
      </w:pPr>
    </w:p>
    <w:p w14:paraId="3B0DF536" w14:textId="77777777" w:rsidR="00C273EE" w:rsidRDefault="00C273EE" w:rsidP="000F0E62">
      <w:pPr>
        <w:pStyle w:val="Body"/>
        <w:spacing w:before="0" w:after="0"/>
        <w:ind w:left="426"/>
        <w:rPr>
          <w:rFonts w:ascii="Arial" w:hAnsi="Arial"/>
          <w:sz w:val="24"/>
          <w:szCs w:val="24"/>
        </w:rPr>
      </w:pPr>
    </w:p>
    <w:p w14:paraId="7EC624B1" w14:textId="77777777" w:rsidR="00C273EE" w:rsidRDefault="00C273EE" w:rsidP="000F0E62">
      <w:pPr>
        <w:pStyle w:val="Body"/>
        <w:spacing w:before="0" w:after="0"/>
        <w:ind w:left="426"/>
        <w:rPr>
          <w:rFonts w:ascii="Arial" w:hAnsi="Arial"/>
          <w:sz w:val="24"/>
          <w:szCs w:val="24"/>
        </w:rPr>
      </w:pPr>
    </w:p>
    <w:p w14:paraId="0A440D9D" w14:textId="77777777" w:rsidR="00C273EE" w:rsidRDefault="00C273EE" w:rsidP="000F0E62">
      <w:pPr>
        <w:pStyle w:val="Body"/>
        <w:spacing w:before="0" w:after="0"/>
        <w:ind w:left="426"/>
        <w:rPr>
          <w:rFonts w:ascii="Arial" w:hAnsi="Arial"/>
          <w:sz w:val="24"/>
          <w:szCs w:val="24"/>
        </w:rPr>
      </w:pPr>
    </w:p>
    <w:p w14:paraId="206E4D73" w14:textId="77777777" w:rsidR="00C273EE" w:rsidRDefault="00C273EE" w:rsidP="000F0E62">
      <w:pPr>
        <w:pStyle w:val="Body"/>
        <w:spacing w:before="0" w:after="0"/>
        <w:ind w:left="426"/>
        <w:rPr>
          <w:rFonts w:ascii="Arial" w:hAnsi="Arial"/>
          <w:sz w:val="24"/>
          <w:szCs w:val="24"/>
        </w:rPr>
      </w:pPr>
    </w:p>
    <w:p w14:paraId="2D9C14EB" w14:textId="77777777" w:rsidR="00C273EE" w:rsidRPr="00766CE4" w:rsidRDefault="00C273EE" w:rsidP="000F0E62">
      <w:pPr>
        <w:pStyle w:val="Body"/>
        <w:spacing w:before="0" w:after="0"/>
        <w:ind w:left="426"/>
        <w:rPr>
          <w:rFonts w:ascii="Arial" w:hAnsi="Arial"/>
          <w:sz w:val="24"/>
          <w:szCs w:val="24"/>
        </w:rPr>
      </w:pPr>
    </w:p>
    <w:p w14:paraId="4680711E" w14:textId="357B961C" w:rsidR="00234C0E" w:rsidRDefault="00237020" w:rsidP="00A324D3">
      <w:pPr>
        <w:pStyle w:val="Heading1"/>
        <w:keepLines/>
        <w:spacing w:before="480" w:after="0" w:line="276" w:lineRule="auto"/>
        <w:ind w:left="426"/>
        <w:rPr>
          <w:sz w:val="36"/>
          <w:szCs w:val="36"/>
        </w:rPr>
      </w:pPr>
      <w:bookmarkStart w:id="1441" w:name="_Toc240536493"/>
      <w:r w:rsidRPr="005F6A36">
        <w:rPr>
          <w:sz w:val="36"/>
          <w:szCs w:val="36"/>
        </w:rPr>
        <w:t>A</w:t>
      </w:r>
      <w:r w:rsidR="003233D3" w:rsidRPr="005F6A36">
        <w:rPr>
          <w:sz w:val="36"/>
          <w:szCs w:val="36"/>
        </w:rPr>
        <w:t>ppendix C: Procurement Exemptions</w:t>
      </w:r>
      <w:bookmarkEnd w:id="1441"/>
    </w:p>
    <w:p w14:paraId="747F969C" w14:textId="77777777" w:rsidR="00C273EE" w:rsidRPr="00C273EE" w:rsidRDefault="00C273EE" w:rsidP="00C273EE"/>
    <w:tbl>
      <w:tblPr>
        <w:tblStyle w:val="TableGrid"/>
        <w:tblW w:w="8665" w:type="dxa"/>
        <w:tblInd w:w="426" w:type="dxa"/>
        <w:tblLayout w:type="fixed"/>
        <w:tblLook w:val="0620" w:firstRow="1" w:lastRow="0" w:firstColumn="0" w:lastColumn="0" w:noHBand="1" w:noVBand="1"/>
      </w:tblPr>
      <w:tblGrid>
        <w:gridCol w:w="1417"/>
        <w:gridCol w:w="4111"/>
        <w:gridCol w:w="1718"/>
        <w:gridCol w:w="1419"/>
      </w:tblGrid>
      <w:tr w:rsidR="00A23997" w:rsidRPr="005F6A36" w14:paraId="45CDC9D3" w14:textId="36A64CAC" w:rsidTr="00C62842">
        <w:trPr>
          <w:cnfStyle w:val="100000000000" w:firstRow="1" w:lastRow="0" w:firstColumn="0" w:lastColumn="0" w:oddVBand="0" w:evenVBand="0" w:oddHBand="0" w:evenHBand="0" w:firstRowFirstColumn="0" w:firstRowLastColumn="0" w:lastRowFirstColumn="0" w:lastRowLastColumn="0"/>
          <w:trHeight w:val="526"/>
          <w:tblHeader/>
        </w:trPr>
        <w:tc>
          <w:tcPr>
            <w:tcW w:w="1417" w:type="dxa"/>
            <w:shd w:val="clear" w:color="auto" w:fill="00B0F0"/>
          </w:tcPr>
          <w:p w14:paraId="4880788B" w14:textId="6E3EF3D0" w:rsidR="00234C0E" w:rsidRPr="00766CE4" w:rsidRDefault="00234C0E" w:rsidP="00A17C90">
            <w:pPr>
              <w:rPr>
                <w:color w:val="auto"/>
                <w:sz w:val="24"/>
                <w:szCs w:val="24"/>
              </w:rPr>
            </w:pPr>
            <w:r w:rsidRPr="00766CE4">
              <w:rPr>
                <w:color w:val="auto"/>
                <w:sz w:val="24"/>
                <w:szCs w:val="24"/>
              </w:rPr>
              <w:t>Category</w:t>
            </w:r>
          </w:p>
        </w:tc>
        <w:tc>
          <w:tcPr>
            <w:tcW w:w="4111" w:type="dxa"/>
            <w:shd w:val="clear" w:color="auto" w:fill="00B0F0"/>
          </w:tcPr>
          <w:p w14:paraId="039D54E0" w14:textId="76CA64F2" w:rsidR="00234C0E" w:rsidRPr="00766CE4" w:rsidRDefault="00234C0E" w:rsidP="00A17C90">
            <w:pPr>
              <w:rPr>
                <w:color w:val="auto"/>
                <w:sz w:val="24"/>
                <w:szCs w:val="24"/>
              </w:rPr>
            </w:pPr>
            <w:r w:rsidRPr="00766CE4">
              <w:rPr>
                <w:color w:val="auto"/>
                <w:sz w:val="24"/>
                <w:szCs w:val="24"/>
              </w:rPr>
              <w:t>Description</w:t>
            </w:r>
          </w:p>
        </w:tc>
        <w:tc>
          <w:tcPr>
            <w:tcW w:w="1718" w:type="dxa"/>
            <w:shd w:val="clear" w:color="auto" w:fill="00B0F0"/>
          </w:tcPr>
          <w:p w14:paraId="432307E9" w14:textId="59FF2436" w:rsidR="00234C0E" w:rsidRPr="00766CE4" w:rsidRDefault="008A53DB" w:rsidP="00A17C90">
            <w:pPr>
              <w:rPr>
                <w:color w:val="auto"/>
                <w:sz w:val="24"/>
                <w:szCs w:val="24"/>
              </w:rPr>
            </w:pPr>
            <w:r w:rsidRPr="00766CE4">
              <w:rPr>
                <w:color w:val="auto"/>
                <w:sz w:val="24"/>
                <w:szCs w:val="24"/>
              </w:rPr>
              <w:t>Exempt from Market Engagement</w:t>
            </w:r>
          </w:p>
        </w:tc>
        <w:tc>
          <w:tcPr>
            <w:tcW w:w="1419" w:type="dxa"/>
            <w:shd w:val="clear" w:color="auto" w:fill="00B0F0"/>
          </w:tcPr>
          <w:p w14:paraId="24D8259F" w14:textId="055447FA" w:rsidR="00234C0E" w:rsidRPr="00766CE4" w:rsidRDefault="00C24714" w:rsidP="00A17C90">
            <w:pPr>
              <w:rPr>
                <w:color w:val="auto"/>
                <w:sz w:val="24"/>
                <w:szCs w:val="24"/>
              </w:rPr>
            </w:pPr>
            <w:r w:rsidRPr="00766CE4">
              <w:rPr>
                <w:color w:val="auto"/>
                <w:sz w:val="24"/>
                <w:szCs w:val="24"/>
              </w:rPr>
              <w:t>Exempt from Purchase Order</w:t>
            </w:r>
          </w:p>
        </w:tc>
      </w:tr>
      <w:tr w:rsidR="00A23997" w:rsidRPr="005F6A36" w14:paraId="66AA8A7F" w14:textId="329D53C9" w:rsidTr="00C62842">
        <w:trPr>
          <w:trHeight w:val="326"/>
        </w:trPr>
        <w:tc>
          <w:tcPr>
            <w:tcW w:w="1417" w:type="dxa"/>
          </w:tcPr>
          <w:p w14:paraId="02C48331" w14:textId="77777777" w:rsidR="00234C0E" w:rsidRPr="00766CE4" w:rsidRDefault="00234C0E" w:rsidP="00A17C90">
            <w:pPr>
              <w:rPr>
                <w:sz w:val="24"/>
                <w:szCs w:val="24"/>
              </w:rPr>
            </w:pPr>
            <w:r w:rsidRPr="00766CE4">
              <w:rPr>
                <w:sz w:val="24"/>
                <w:szCs w:val="24"/>
              </w:rPr>
              <w:t>Community Grants</w:t>
            </w:r>
          </w:p>
        </w:tc>
        <w:tc>
          <w:tcPr>
            <w:tcW w:w="4111" w:type="dxa"/>
          </w:tcPr>
          <w:p w14:paraId="47E9929E" w14:textId="77777777" w:rsidR="00234C0E" w:rsidRPr="00766CE4" w:rsidRDefault="00234C0E" w:rsidP="00A17C90">
            <w:pPr>
              <w:rPr>
                <w:sz w:val="24"/>
                <w:szCs w:val="24"/>
              </w:rPr>
            </w:pPr>
            <w:r w:rsidRPr="00766CE4">
              <w:rPr>
                <w:sz w:val="24"/>
                <w:szCs w:val="24"/>
              </w:rPr>
              <w:t>Community Grants provided by Council which require a service/funding agreement are exempt. Please note that procurement governance is still required when selecting vendors to implement the grant for the community and should be outlined in the funding agreement.</w:t>
            </w:r>
          </w:p>
        </w:tc>
        <w:tc>
          <w:tcPr>
            <w:tcW w:w="1718" w:type="dxa"/>
          </w:tcPr>
          <w:p w14:paraId="77E49CDF" w14:textId="3E821215" w:rsidR="00234C0E" w:rsidRPr="00766CE4" w:rsidRDefault="004D6A6C" w:rsidP="00A17C90">
            <w:pPr>
              <w:rPr>
                <w:sz w:val="24"/>
                <w:szCs w:val="24"/>
              </w:rPr>
            </w:pPr>
            <w:r w:rsidRPr="00766CE4">
              <w:rPr>
                <w:sz w:val="24"/>
                <w:szCs w:val="24"/>
              </w:rPr>
              <w:t>yes</w:t>
            </w:r>
          </w:p>
        </w:tc>
        <w:tc>
          <w:tcPr>
            <w:tcW w:w="1419" w:type="dxa"/>
          </w:tcPr>
          <w:p w14:paraId="58A40AA7" w14:textId="02D90C71" w:rsidR="00234C0E" w:rsidRPr="00766CE4" w:rsidRDefault="00930C65" w:rsidP="00A17C90">
            <w:pPr>
              <w:rPr>
                <w:sz w:val="24"/>
                <w:szCs w:val="24"/>
              </w:rPr>
            </w:pPr>
            <w:r w:rsidRPr="00766CE4">
              <w:rPr>
                <w:sz w:val="24"/>
                <w:szCs w:val="24"/>
              </w:rPr>
              <w:t>yes</w:t>
            </w:r>
          </w:p>
        </w:tc>
      </w:tr>
      <w:tr w:rsidR="00A23997" w:rsidRPr="005F6A36" w14:paraId="3FDD83FA" w14:textId="373D1184" w:rsidTr="00C62842">
        <w:trPr>
          <w:trHeight w:val="326"/>
        </w:trPr>
        <w:tc>
          <w:tcPr>
            <w:tcW w:w="1417" w:type="dxa"/>
          </w:tcPr>
          <w:p w14:paraId="3790057A" w14:textId="77777777" w:rsidR="00234C0E" w:rsidRPr="00766CE4" w:rsidRDefault="00234C0E" w:rsidP="00A17C90">
            <w:pPr>
              <w:rPr>
                <w:sz w:val="24"/>
                <w:szCs w:val="24"/>
              </w:rPr>
            </w:pPr>
            <w:r w:rsidRPr="00766CE4">
              <w:rPr>
                <w:sz w:val="24"/>
                <w:szCs w:val="24"/>
              </w:rPr>
              <w:t>Emergency or Critical Incident</w:t>
            </w:r>
          </w:p>
        </w:tc>
        <w:tc>
          <w:tcPr>
            <w:tcW w:w="4111" w:type="dxa"/>
          </w:tcPr>
          <w:p w14:paraId="2B2EDCE8" w14:textId="77777777" w:rsidR="00234C0E" w:rsidRPr="00766CE4" w:rsidRDefault="00234C0E" w:rsidP="00A17C90">
            <w:pPr>
              <w:rPr>
                <w:sz w:val="24"/>
                <w:szCs w:val="24"/>
              </w:rPr>
            </w:pPr>
            <w:r w:rsidRPr="00766CE4">
              <w:rPr>
                <w:sz w:val="24"/>
                <w:szCs w:val="24"/>
              </w:rPr>
              <w:t>Where the Chief Executive Officer or a person acting in the position has resolved that a contract must be entered because of an emergency (e.g. to provide an immediate response to a natural disaster or a situation declared an emergency by Council).</w:t>
            </w:r>
          </w:p>
        </w:tc>
        <w:tc>
          <w:tcPr>
            <w:tcW w:w="1718" w:type="dxa"/>
          </w:tcPr>
          <w:p w14:paraId="11239FE7" w14:textId="0AE2E56F" w:rsidR="00234C0E" w:rsidRPr="00766CE4" w:rsidRDefault="00930C65" w:rsidP="00A17C90">
            <w:pPr>
              <w:rPr>
                <w:sz w:val="24"/>
                <w:szCs w:val="24"/>
              </w:rPr>
            </w:pPr>
            <w:r w:rsidRPr="00766CE4">
              <w:rPr>
                <w:sz w:val="24"/>
                <w:szCs w:val="24"/>
              </w:rPr>
              <w:t>yes</w:t>
            </w:r>
          </w:p>
        </w:tc>
        <w:tc>
          <w:tcPr>
            <w:tcW w:w="1419" w:type="dxa"/>
          </w:tcPr>
          <w:p w14:paraId="3CD5BFE2" w14:textId="4FEF1AA5" w:rsidR="00234C0E" w:rsidRPr="00766CE4" w:rsidRDefault="00930C65" w:rsidP="00A17C90">
            <w:pPr>
              <w:rPr>
                <w:sz w:val="24"/>
                <w:szCs w:val="24"/>
              </w:rPr>
            </w:pPr>
            <w:r w:rsidRPr="00766CE4">
              <w:rPr>
                <w:sz w:val="24"/>
                <w:szCs w:val="24"/>
              </w:rPr>
              <w:t>no</w:t>
            </w:r>
          </w:p>
        </w:tc>
      </w:tr>
      <w:tr w:rsidR="00FB46C0" w:rsidRPr="005F6A36" w14:paraId="029F8EC1" w14:textId="74E7855D" w:rsidTr="00C62842">
        <w:trPr>
          <w:trHeight w:val="241"/>
        </w:trPr>
        <w:tc>
          <w:tcPr>
            <w:tcW w:w="1417" w:type="dxa"/>
          </w:tcPr>
          <w:p w14:paraId="301CE38A" w14:textId="77777777" w:rsidR="00234C0E" w:rsidRPr="00766CE4" w:rsidRDefault="00234C0E" w:rsidP="00A17C90">
            <w:pPr>
              <w:rPr>
                <w:sz w:val="24"/>
                <w:szCs w:val="24"/>
              </w:rPr>
            </w:pPr>
            <w:r w:rsidRPr="00766CE4">
              <w:rPr>
                <w:sz w:val="24"/>
                <w:szCs w:val="24"/>
              </w:rPr>
              <w:t>Extension of contracts while Council is at market</w:t>
            </w:r>
          </w:p>
        </w:tc>
        <w:tc>
          <w:tcPr>
            <w:tcW w:w="4111" w:type="dxa"/>
          </w:tcPr>
          <w:p w14:paraId="5F51F72D" w14:textId="77777777" w:rsidR="00234C0E" w:rsidRPr="00766CE4" w:rsidRDefault="00234C0E" w:rsidP="00A17C90">
            <w:pPr>
              <w:rPr>
                <w:sz w:val="24"/>
                <w:szCs w:val="24"/>
              </w:rPr>
            </w:pPr>
            <w:r w:rsidRPr="00766CE4">
              <w:rPr>
                <w:sz w:val="24"/>
                <w:szCs w:val="24"/>
              </w:rPr>
              <w:t>Allows Council to extend an existing contract where the procurement process to replace the contract has commenced, and where the tender process or negotiations will take or are taking longer than expected.</w:t>
            </w:r>
          </w:p>
          <w:p w14:paraId="66847594" w14:textId="77777777" w:rsidR="00234C0E" w:rsidRPr="00766CE4" w:rsidRDefault="00234C0E" w:rsidP="00A17C90">
            <w:pPr>
              <w:rPr>
                <w:sz w:val="24"/>
                <w:szCs w:val="24"/>
              </w:rPr>
            </w:pPr>
            <w:r w:rsidRPr="00766CE4">
              <w:rPr>
                <w:sz w:val="24"/>
                <w:szCs w:val="24"/>
              </w:rPr>
              <w:t>This exemption may be used when the establishment of an interim short-term arrangement with an alternative supplier is considered not to be in the public interest, as it may be cost prohibitive and/or present a risk in the delivery of critical public services to the municipality.</w:t>
            </w:r>
          </w:p>
        </w:tc>
        <w:tc>
          <w:tcPr>
            <w:tcW w:w="1718" w:type="dxa"/>
          </w:tcPr>
          <w:p w14:paraId="1BB35DD1" w14:textId="4D50A25E" w:rsidR="00234C0E" w:rsidRPr="00766CE4" w:rsidRDefault="00930C65" w:rsidP="00A17C90">
            <w:pPr>
              <w:rPr>
                <w:sz w:val="24"/>
                <w:szCs w:val="24"/>
              </w:rPr>
            </w:pPr>
            <w:r w:rsidRPr="00766CE4">
              <w:rPr>
                <w:sz w:val="24"/>
                <w:szCs w:val="24"/>
              </w:rPr>
              <w:t>yes</w:t>
            </w:r>
          </w:p>
        </w:tc>
        <w:tc>
          <w:tcPr>
            <w:tcW w:w="1419" w:type="dxa"/>
          </w:tcPr>
          <w:p w14:paraId="70F424D0" w14:textId="43B84478" w:rsidR="00234C0E" w:rsidRPr="00766CE4" w:rsidRDefault="00930C65" w:rsidP="00A17C90">
            <w:pPr>
              <w:rPr>
                <w:sz w:val="24"/>
                <w:szCs w:val="24"/>
              </w:rPr>
            </w:pPr>
            <w:r w:rsidRPr="00766CE4">
              <w:rPr>
                <w:sz w:val="24"/>
                <w:szCs w:val="24"/>
              </w:rPr>
              <w:t>no</w:t>
            </w:r>
          </w:p>
        </w:tc>
      </w:tr>
      <w:tr w:rsidR="00FB46C0" w:rsidRPr="005F6A36" w14:paraId="0060A6E0" w14:textId="6072A610" w:rsidTr="00C62842">
        <w:trPr>
          <w:trHeight w:val="241"/>
        </w:trPr>
        <w:tc>
          <w:tcPr>
            <w:tcW w:w="1417" w:type="dxa"/>
          </w:tcPr>
          <w:p w14:paraId="3E342960" w14:textId="77777777" w:rsidR="00234C0E" w:rsidRPr="00766CE4" w:rsidRDefault="00234C0E" w:rsidP="00A17C90">
            <w:pPr>
              <w:rPr>
                <w:sz w:val="24"/>
                <w:szCs w:val="24"/>
              </w:rPr>
            </w:pPr>
            <w:r w:rsidRPr="00766CE4">
              <w:rPr>
                <w:sz w:val="24"/>
                <w:szCs w:val="24"/>
              </w:rPr>
              <w:t>Professional services unsuitable for tendering</w:t>
            </w:r>
          </w:p>
        </w:tc>
        <w:tc>
          <w:tcPr>
            <w:tcW w:w="4111" w:type="dxa"/>
          </w:tcPr>
          <w:p w14:paraId="7224289B" w14:textId="77777777" w:rsidR="00234C0E" w:rsidRPr="00766CE4" w:rsidRDefault="00234C0E" w:rsidP="00A17C90">
            <w:pPr>
              <w:rPr>
                <w:sz w:val="24"/>
                <w:szCs w:val="24"/>
              </w:rPr>
            </w:pPr>
            <w:r w:rsidRPr="00766CE4">
              <w:rPr>
                <w:sz w:val="24"/>
                <w:szCs w:val="24"/>
              </w:rPr>
              <w:t>Legal Services</w:t>
            </w:r>
          </w:p>
          <w:p w14:paraId="7036C641" w14:textId="77777777" w:rsidR="00234C0E" w:rsidRPr="00766CE4" w:rsidRDefault="00234C0E" w:rsidP="00A17C90">
            <w:pPr>
              <w:rPr>
                <w:sz w:val="24"/>
                <w:szCs w:val="24"/>
              </w:rPr>
            </w:pPr>
            <w:r w:rsidRPr="00766CE4">
              <w:rPr>
                <w:sz w:val="24"/>
                <w:szCs w:val="24"/>
              </w:rPr>
              <w:t>Insurance</w:t>
            </w:r>
          </w:p>
        </w:tc>
        <w:tc>
          <w:tcPr>
            <w:tcW w:w="1718" w:type="dxa"/>
          </w:tcPr>
          <w:p w14:paraId="2971D727" w14:textId="6AB7787E" w:rsidR="00234C0E" w:rsidRPr="00766CE4" w:rsidRDefault="00930C65" w:rsidP="00A17C90">
            <w:pPr>
              <w:rPr>
                <w:sz w:val="24"/>
                <w:szCs w:val="24"/>
              </w:rPr>
            </w:pPr>
            <w:r w:rsidRPr="00766CE4">
              <w:rPr>
                <w:sz w:val="24"/>
                <w:szCs w:val="24"/>
              </w:rPr>
              <w:t>yes</w:t>
            </w:r>
          </w:p>
        </w:tc>
        <w:tc>
          <w:tcPr>
            <w:tcW w:w="1419" w:type="dxa"/>
          </w:tcPr>
          <w:p w14:paraId="29598F9A" w14:textId="7652AD89" w:rsidR="00234C0E" w:rsidRPr="00766CE4" w:rsidRDefault="00930C65" w:rsidP="00A17C90">
            <w:pPr>
              <w:rPr>
                <w:sz w:val="24"/>
                <w:szCs w:val="24"/>
              </w:rPr>
            </w:pPr>
            <w:r w:rsidRPr="00766CE4">
              <w:rPr>
                <w:sz w:val="24"/>
                <w:szCs w:val="24"/>
              </w:rPr>
              <w:t>no</w:t>
            </w:r>
          </w:p>
        </w:tc>
      </w:tr>
      <w:tr w:rsidR="00FB46C0" w:rsidRPr="005F6A36" w14:paraId="5C28A98E" w14:textId="05FC9D36" w:rsidTr="00C62842">
        <w:trPr>
          <w:trHeight w:val="241"/>
        </w:trPr>
        <w:tc>
          <w:tcPr>
            <w:tcW w:w="1417" w:type="dxa"/>
          </w:tcPr>
          <w:p w14:paraId="16EE8B36" w14:textId="77777777" w:rsidR="00234C0E" w:rsidRPr="00766CE4" w:rsidRDefault="00234C0E" w:rsidP="00A17C90">
            <w:pPr>
              <w:rPr>
                <w:sz w:val="24"/>
                <w:szCs w:val="24"/>
              </w:rPr>
            </w:pPr>
            <w:r w:rsidRPr="00766CE4">
              <w:rPr>
                <w:sz w:val="24"/>
                <w:szCs w:val="24"/>
              </w:rPr>
              <w:t>Novated Contracts</w:t>
            </w:r>
          </w:p>
        </w:tc>
        <w:tc>
          <w:tcPr>
            <w:tcW w:w="4111" w:type="dxa"/>
          </w:tcPr>
          <w:p w14:paraId="585F540F" w14:textId="242011B7" w:rsidR="00234C0E" w:rsidRPr="00766CE4" w:rsidRDefault="00234C0E" w:rsidP="00A17C90">
            <w:pPr>
              <w:rPr>
                <w:sz w:val="24"/>
                <w:szCs w:val="24"/>
              </w:rPr>
            </w:pPr>
            <w:r w:rsidRPr="00766CE4">
              <w:rPr>
                <w:sz w:val="24"/>
                <w:szCs w:val="24"/>
              </w:rPr>
              <w:t xml:space="preserve">Where </w:t>
            </w:r>
            <w:r w:rsidR="008A6FA0" w:rsidRPr="00766CE4">
              <w:rPr>
                <w:sz w:val="24"/>
                <w:szCs w:val="24"/>
              </w:rPr>
              <w:t xml:space="preserve">a company has been acquired, </w:t>
            </w:r>
            <w:r w:rsidRPr="00766CE4">
              <w:rPr>
                <w:sz w:val="24"/>
                <w:szCs w:val="24"/>
              </w:rPr>
              <w:t xml:space="preserve">the initial contract was entered into in compliance with the relevant Local Government Act and due diligence has been undertaken in respect to the new </w:t>
            </w:r>
            <w:r w:rsidR="007E6B8B" w:rsidRPr="00766CE4">
              <w:rPr>
                <w:sz w:val="24"/>
                <w:szCs w:val="24"/>
              </w:rPr>
              <w:t>company</w:t>
            </w:r>
            <w:r w:rsidRPr="00766CE4">
              <w:rPr>
                <w:sz w:val="24"/>
                <w:szCs w:val="24"/>
              </w:rPr>
              <w:t>.</w:t>
            </w:r>
          </w:p>
        </w:tc>
        <w:tc>
          <w:tcPr>
            <w:tcW w:w="1718" w:type="dxa"/>
          </w:tcPr>
          <w:p w14:paraId="00A4088D" w14:textId="2B7F0FBD" w:rsidR="00234C0E" w:rsidRPr="00766CE4" w:rsidRDefault="00447841" w:rsidP="00A17C90">
            <w:pPr>
              <w:rPr>
                <w:sz w:val="24"/>
                <w:szCs w:val="24"/>
              </w:rPr>
            </w:pPr>
            <w:r w:rsidRPr="00766CE4">
              <w:rPr>
                <w:sz w:val="24"/>
                <w:szCs w:val="24"/>
              </w:rPr>
              <w:t>yes</w:t>
            </w:r>
          </w:p>
        </w:tc>
        <w:tc>
          <w:tcPr>
            <w:tcW w:w="1419" w:type="dxa"/>
          </w:tcPr>
          <w:p w14:paraId="4727E481" w14:textId="64689406" w:rsidR="00234C0E" w:rsidRPr="00766CE4" w:rsidRDefault="00447841" w:rsidP="00A17C90">
            <w:pPr>
              <w:rPr>
                <w:sz w:val="24"/>
                <w:szCs w:val="24"/>
              </w:rPr>
            </w:pPr>
            <w:r w:rsidRPr="00766CE4">
              <w:rPr>
                <w:sz w:val="24"/>
                <w:szCs w:val="24"/>
              </w:rPr>
              <w:t>no</w:t>
            </w:r>
          </w:p>
        </w:tc>
      </w:tr>
      <w:tr w:rsidR="00FB46C0" w:rsidRPr="005F6A36" w14:paraId="117A05B9" w14:textId="19B7BC7A" w:rsidTr="00C62842">
        <w:trPr>
          <w:trHeight w:val="241"/>
        </w:trPr>
        <w:tc>
          <w:tcPr>
            <w:tcW w:w="1417" w:type="dxa"/>
          </w:tcPr>
          <w:p w14:paraId="1EFDA466" w14:textId="77777777" w:rsidR="00234C0E" w:rsidRPr="00766CE4" w:rsidRDefault="00234C0E" w:rsidP="00A17C90">
            <w:pPr>
              <w:rPr>
                <w:sz w:val="24"/>
                <w:szCs w:val="24"/>
              </w:rPr>
            </w:pPr>
            <w:r w:rsidRPr="00766CE4">
              <w:rPr>
                <w:sz w:val="24"/>
                <w:szCs w:val="24"/>
              </w:rPr>
              <w:t xml:space="preserve">Information technology </w:t>
            </w:r>
          </w:p>
        </w:tc>
        <w:tc>
          <w:tcPr>
            <w:tcW w:w="4111" w:type="dxa"/>
          </w:tcPr>
          <w:p w14:paraId="0398A18B" w14:textId="03E6D06F" w:rsidR="00234C0E" w:rsidRPr="00766CE4" w:rsidRDefault="00234C0E" w:rsidP="00A17C90">
            <w:pPr>
              <w:rPr>
                <w:sz w:val="24"/>
                <w:szCs w:val="24"/>
              </w:rPr>
            </w:pPr>
            <w:r w:rsidRPr="00766CE4">
              <w:rPr>
                <w:sz w:val="24"/>
                <w:szCs w:val="24"/>
              </w:rPr>
              <w:t>Allows Council to renew existing software licenses, maintenance and support, or upgrade existing systems, where there is only one supplier of the software who holds the intellectual property rights, or which involves high switching costs that could not be recovered within a reasonable period considering the purchase.</w:t>
            </w:r>
          </w:p>
        </w:tc>
        <w:tc>
          <w:tcPr>
            <w:tcW w:w="1718" w:type="dxa"/>
          </w:tcPr>
          <w:p w14:paraId="583A9C68" w14:textId="25C3A870" w:rsidR="00234C0E" w:rsidRPr="00766CE4" w:rsidRDefault="00447841" w:rsidP="00A17C90">
            <w:pPr>
              <w:rPr>
                <w:sz w:val="24"/>
                <w:szCs w:val="24"/>
              </w:rPr>
            </w:pPr>
            <w:r w:rsidRPr="00766CE4">
              <w:rPr>
                <w:sz w:val="24"/>
                <w:szCs w:val="24"/>
              </w:rPr>
              <w:t>yes</w:t>
            </w:r>
          </w:p>
        </w:tc>
        <w:tc>
          <w:tcPr>
            <w:tcW w:w="1419" w:type="dxa"/>
          </w:tcPr>
          <w:p w14:paraId="38C65C1A" w14:textId="400E48C7" w:rsidR="00234C0E" w:rsidRPr="00766CE4" w:rsidRDefault="00447841" w:rsidP="00A17C90">
            <w:pPr>
              <w:rPr>
                <w:sz w:val="24"/>
                <w:szCs w:val="24"/>
              </w:rPr>
            </w:pPr>
            <w:r w:rsidRPr="00766CE4">
              <w:rPr>
                <w:sz w:val="24"/>
                <w:szCs w:val="24"/>
              </w:rPr>
              <w:t>no</w:t>
            </w:r>
          </w:p>
        </w:tc>
      </w:tr>
      <w:tr w:rsidR="00FB46C0" w:rsidRPr="005F6A36" w14:paraId="67A7FE7D" w14:textId="1510E98A" w:rsidTr="00C62842">
        <w:trPr>
          <w:trHeight w:val="241"/>
        </w:trPr>
        <w:tc>
          <w:tcPr>
            <w:tcW w:w="1417" w:type="dxa"/>
          </w:tcPr>
          <w:p w14:paraId="113A54D7" w14:textId="77777777" w:rsidR="00234C0E" w:rsidRPr="00766CE4" w:rsidRDefault="00234C0E" w:rsidP="00A17C90">
            <w:pPr>
              <w:rPr>
                <w:sz w:val="24"/>
                <w:szCs w:val="24"/>
              </w:rPr>
            </w:pPr>
            <w:r w:rsidRPr="00766CE4">
              <w:rPr>
                <w:sz w:val="24"/>
                <w:szCs w:val="24"/>
              </w:rPr>
              <w:t>Regional Waste and Resource Recovery Groups</w:t>
            </w:r>
          </w:p>
        </w:tc>
        <w:tc>
          <w:tcPr>
            <w:tcW w:w="4111" w:type="dxa"/>
          </w:tcPr>
          <w:p w14:paraId="05D56C4A" w14:textId="77777777" w:rsidR="00234C0E" w:rsidRPr="00766CE4" w:rsidRDefault="00234C0E" w:rsidP="00A17C90">
            <w:pPr>
              <w:rPr>
                <w:sz w:val="24"/>
                <w:szCs w:val="24"/>
              </w:rPr>
            </w:pPr>
            <w:r w:rsidRPr="00766CE4">
              <w:rPr>
                <w:sz w:val="24"/>
                <w:szCs w:val="24"/>
              </w:rPr>
              <w:t>Situations where a Regional Waste and Resource Recovery Group proposes to conduct or has conducted a public tender for and on behalf of its member councils.</w:t>
            </w:r>
          </w:p>
        </w:tc>
        <w:tc>
          <w:tcPr>
            <w:tcW w:w="1718" w:type="dxa"/>
          </w:tcPr>
          <w:p w14:paraId="245BC341" w14:textId="6C63F60C" w:rsidR="00234C0E" w:rsidRPr="00766CE4" w:rsidRDefault="00447841" w:rsidP="00A17C90">
            <w:pPr>
              <w:rPr>
                <w:sz w:val="24"/>
                <w:szCs w:val="24"/>
              </w:rPr>
            </w:pPr>
            <w:r w:rsidRPr="00766CE4">
              <w:rPr>
                <w:sz w:val="24"/>
                <w:szCs w:val="24"/>
              </w:rPr>
              <w:t>yes</w:t>
            </w:r>
          </w:p>
        </w:tc>
        <w:tc>
          <w:tcPr>
            <w:tcW w:w="1419" w:type="dxa"/>
          </w:tcPr>
          <w:p w14:paraId="44DBFD3E" w14:textId="727DD2D2" w:rsidR="00234C0E" w:rsidRPr="00766CE4" w:rsidRDefault="00447841" w:rsidP="00A17C90">
            <w:pPr>
              <w:rPr>
                <w:sz w:val="24"/>
                <w:szCs w:val="24"/>
              </w:rPr>
            </w:pPr>
            <w:r w:rsidRPr="00766CE4">
              <w:rPr>
                <w:sz w:val="24"/>
                <w:szCs w:val="24"/>
              </w:rPr>
              <w:t>no</w:t>
            </w:r>
          </w:p>
        </w:tc>
      </w:tr>
      <w:tr w:rsidR="00FB46C0" w:rsidRPr="005F6A36" w14:paraId="54F4561B" w14:textId="39F4134D" w:rsidTr="00C62842">
        <w:trPr>
          <w:trHeight w:val="241"/>
        </w:trPr>
        <w:tc>
          <w:tcPr>
            <w:tcW w:w="1417" w:type="dxa"/>
          </w:tcPr>
          <w:p w14:paraId="32DAF6AD" w14:textId="77777777" w:rsidR="00234C0E" w:rsidRPr="00766CE4" w:rsidRDefault="00234C0E" w:rsidP="00A17C90">
            <w:pPr>
              <w:rPr>
                <w:sz w:val="24"/>
                <w:szCs w:val="24"/>
              </w:rPr>
            </w:pPr>
            <w:r w:rsidRPr="00766CE4">
              <w:rPr>
                <w:sz w:val="24"/>
                <w:szCs w:val="24"/>
              </w:rPr>
              <w:t>Operating Leases</w:t>
            </w:r>
          </w:p>
        </w:tc>
        <w:tc>
          <w:tcPr>
            <w:tcW w:w="4111" w:type="dxa"/>
          </w:tcPr>
          <w:p w14:paraId="15360897" w14:textId="77777777" w:rsidR="00234C0E" w:rsidRPr="00766CE4" w:rsidRDefault="00234C0E" w:rsidP="00A17C90">
            <w:pPr>
              <w:rPr>
                <w:sz w:val="24"/>
                <w:szCs w:val="24"/>
              </w:rPr>
            </w:pPr>
            <w:r w:rsidRPr="00766CE4">
              <w:rPr>
                <w:sz w:val="24"/>
                <w:szCs w:val="24"/>
              </w:rPr>
              <w:t>Where a lessor leases an asset to the Council and assumes the residual value risk of the property or item.</w:t>
            </w:r>
          </w:p>
        </w:tc>
        <w:tc>
          <w:tcPr>
            <w:tcW w:w="1718" w:type="dxa"/>
          </w:tcPr>
          <w:p w14:paraId="1681BAD6" w14:textId="2E4FB671" w:rsidR="00234C0E" w:rsidRPr="00766CE4" w:rsidRDefault="00447841" w:rsidP="00A17C90">
            <w:pPr>
              <w:rPr>
                <w:sz w:val="24"/>
                <w:szCs w:val="24"/>
              </w:rPr>
            </w:pPr>
            <w:r w:rsidRPr="00766CE4">
              <w:rPr>
                <w:sz w:val="24"/>
                <w:szCs w:val="24"/>
              </w:rPr>
              <w:t>yes</w:t>
            </w:r>
          </w:p>
        </w:tc>
        <w:tc>
          <w:tcPr>
            <w:tcW w:w="1419" w:type="dxa"/>
          </w:tcPr>
          <w:p w14:paraId="63954F01" w14:textId="1E4BB3ED" w:rsidR="00234C0E" w:rsidRPr="00766CE4" w:rsidRDefault="00447841" w:rsidP="00A17C90">
            <w:pPr>
              <w:rPr>
                <w:sz w:val="24"/>
                <w:szCs w:val="24"/>
              </w:rPr>
            </w:pPr>
            <w:r w:rsidRPr="00766CE4">
              <w:rPr>
                <w:sz w:val="24"/>
                <w:szCs w:val="24"/>
              </w:rPr>
              <w:t>no</w:t>
            </w:r>
          </w:p>
        </w:tc>
      </w:tr>
      <w:tr w:rsidR="00FB46C0" w:rsidRPr="005F6A36" w14:paraId="55412A07" w14:textId="0CABBD19" w:rsidTr="00C62842">
        <w:trPr>
          <w:trHeight w:val="241"/>
        </w:trPr>
        <w:tc>
          <w:tcPr>
            <w:tcW w:w="1417" w:type="dxa"/>
          </w:tcPr>
          <w:p w14:paraId="3C982E10" w14:textId="77777777" w:rsidR="00234C0E" w:rsidRPr="00766CE4" w:rsidRDefault="00234C0E" w:rsidP="00A17C90">
            <w:pPr>
              <w:rPr>
                <w:sz w:val="24"/>
                <w:szCs w:val="24"/>
              </w:rPr>
            </w:pPr>
            <w:r w:rsidRPr="00766CE4">
              <w:rPr>
                <w:sz w:val="24"/>
                <w:szCs w:val="24"/>
              </w:rPr>
              <w:t>Creative and cultural works and services</w:t>
            </w:r>
          </w:p>
        </w:tc>
        <w:tc>
          <w:tcPr>
            <w:tcW w:w="4111" w:type="dxa"/>
          </w:tcPr>
          <w:p w14:paraId="352BF700" w14:textId="77777777" w:rsidR="00234C0E" w:rsidRPr="00766CE4" w:rsidRDefault="00234C0E" w:rsidP="00A17C90">
            <w:pPr>
              <w:rPr>
                <w:sz w:val="24"/>
                <w:szCs w:val="24"/>
              </w:rPr>
            </w:pPr>
            <w:r w:rsidRPr="00766CE4">
              <w:rPr>
                <w:sz w:val="24"/>
                <w:szCs w:val="24"/>
              </w:rPr>
              <w:t>Purchase of artworks for installation in public spaces where this is not subject to a public design competition.</w:t>
            </w:r>
          </w:p>
          <w:p w14:paraId="72AF9702" w14:textId="77777777" w:rsidR="00234C0E" w:rsidRPr="00766CE4" w:rsidRDefault="00234C0E" w:rsidP="00A17C90">
            <w:pPr>
              <w:rPr>
                <w:sz w:val="24"/>
                <w:szCs w:val="24"/>
              </w:rPr>
            </w:pPr>
            <w:r w:rsidRPr="00766CE4">
              <w:rPr>
                <w:sz w:val="24"/>
                <w:szCs w:val="24"/>
              </w:rPr>
              <w:t>Creative and cultural services such as musicians, dancers, actors and indigenous performers hired for cultural or entertainment events.</w:t>
            </w:r>
          </w:p>
        </w:tc>
        <w:tc>
          <w:tcPr>
            <w:tcW w:w="1718" w:type="dxa"/>
          </w:tcPr>
          <w:p w14:paraId="0D0D22C2" w14:textId="7C4F9617" w:rsidR="00234C0E" w:rsidRPr="00766CE4" w:rsidRDefault="00447841" w:rsidP="00A17C90">
            <w:pPr>
              <w:rPr>
                <w:sz w:val="24"/>
                <w:szCs w:val="24"/>
              </w:rPr>
            </w:pPr>
            <w:r w:rsidRPr="00766CE4">
              <w:rPr>
                <w:sz w:val="24"/>
                <w:szCs w:val="24"/>
              </w:rPr>
              <w:t>yes</w:t>
            </w:r>
          </w:p>
        </w:tc>
        <w:tc>
          <w:tcPr>
            <w:tcW w:w="1419" w:type="dxa"/>
          </w:tcPr>
          <w:p w14:paraId="33820F0C" w14:textId="3D798A0E" w:rsidR="00234C0E" w:rsidRPr="00766CE4" w:rsidRDefault="00447841" w:rsidP="00A17C90">
            <w:pPr>
              <w:rPr>
                <w:sz w:val="24"/>
                <w:szCs w:val="24"/>
              </w:rPr>
            </w:pPr>
            <w:r w:rsidRPr="00766CE4">
              <w:rPr>
                <w:sz w:val="24"/>
                <w:szCs w:val="24"/>
              </w:rPr>
              <w:t>no</w:t>
            </w:r>
          </w:p>
        </w:tc>
      </w:tr>
      <w:tr w:rsidR="00FB46C0" w:rsidRPr="005F6A36" w14:paraId="436E22D1" w14:textId="41542B88" w:rsidTr="00C62842">
        <w:trPr>
          <w:trHeight w:val="241"/>
        </w:trPr>
        <w:tc>
          <w:tcPr>
            <w:tcW w:w="1417" w:type="dxa"/>
          </w:tcPr>
          <w:p w14:paraId="3FF62396" w14:textId="77777777" w:rsidR="00234C0E" w:rsidRPr="00766CE4" w:rsidRDefault="00234C0E" w:rsidP="00A17C90">
            <w:pPr>
              <w:rPr>
                <w:sz w:val="24"/>
                <w:szCs w:val="24"/>
              </w:rPr>
            </w:pPr>
            <w:r w:rsidRPr="00766CE4">
              <w:rPr>
                <w:sz w:val="24"/>
                <w:szCs w:val="24"/>
              </w:rPr>
              <w:t>External Training</w:t>
            </w:r>
          </w:p>
        </w:tc>
        <w:tc>
          <w:tcPr>
            <w:tcW w:w="4111" w:type="dxa"/>
          </w:tcPr>
          <w:p w14:paraId="60C0118C" w14:textId="7E1ACB0C" w:rsidR="00234C0E" w:rsidRPr="00766CE4" w:rsidRDefault="00234C0E" w:rsidP="00A17C90">
            <w:pPr>
              <w:rPr>
                <w:sz w:val="24"/>
                <w:szCs w:val="24"/>
              </w:rPr>
            </w:pPr>
            <w:r w:rsidRPr="00766CE4">
              <w:rPr>
                <w:sz w:val="24"/>
                <w:szCs w:val="24"/>
              </w:rPr>
              <w:t>External training only available from a single supplier</w:t>
            </w:r>
            <w:r w:rsidR="00AA62D5" w:rsidRPr="00766CE4">
              <w:rPr>
                <w:sz w:val="24"/>
                <w:szCs w:val="24"/>
              </w:rPr>
              <w:t>/ industry</w:t>
            </w:r>
            <w:r w:rsidR="00131303" w:rsidRPr="00766CE4">
              <w:rPr>
                <w:sz w:val="24"/>
                <w:szCs w:val="24"/>
              </w:rPr>
              <w:t xml:space="preserve"> mandatory training (e.g. CPA certified training)</w:t>
            </w:r>
          </w:p>
        </w:tc>
        <w:tc>
          <w:tcPr>
            <w:tcW w:w="1718" w:type="dxa"/>
          </w:tcPr>
          <w:p w14:paraId="4FC01BD8" w14:textId="43478FDD" w:rsidR="00234C0E" w:rsidRPr="00766CE4" w:rsidRDefault="00447841" w:rsidP="00A17C90">
            <w:pPr>
              <w:rPr>
                <w:sz w:val="24"/>
                <w:szCs w:val="24"/>
              </w:rPr>
            </w:pPr>
            <w:r w:rsidRPr="00766CE4">
              <w:rPr>
                <w:sz w:val="24"/>
                <w:szCs w:val="24"/>
              </w:rPr>
              <w:t>yes</w:t>
            </w:r>
          </w:p>
        </w:tc>
        <w:tc>
          <w:tcPr>
            <w:tcW w:w="1419" w:type="dxa"/>
          </w:tcPr>
          <w:p w14:paraId="5516D8D2" w14:textId="39681970" w:rsidR="00234C0E" w:rsidRPr="00766CE4" w:rsidRDefault="00245649" w:rsidP="00A17C90">
            <w:pPr>
              <w:rPr>
                <w:sz w:val="24"/>
                <w:szCs w:val="24"/>
              </w:rPr>
            </w:pPr>
            <w:r w:rsidRPr="00766CE4">
              <w:rPr>
                <w:sz w:val="24"/>
                <w:szCs w:val="24"/>
              </w:rPr>
              <w:t>yes</w:t>
            </w:r>
          </w:p>
        </w:tc>
      </w:tr>
      <w:tr w:rsidR="00FB46C0" w:rsidRPr="005F6A36" w14:paraId="0743E24D" w14:textId="7163C2FA" w:rsidTr="00C62842">
        <w:trPr>
          <w:trHeight w:val="241"/>
        </w:trPr>
        <w:tc>
          <w:tcPr>
            <w:tcW w:w="1417" w:type="dxa"/>
          </w:tcPr>
          <w:p w14:paraId="733A8889" w14:textId="77777777" w:rsidR="00234C0E" w:rsidRPr="00766CE4" w:rsidRDefault="00234C0E" w:rsidP="00A17C90">
            <w:pPr>
              <w:rPr>
                <w:sz w:val="24"/>
                <w:szCs w:val="24"/>
              </w:rPr>
            </w:pPr>
            <w:r w:rsidRPr="00766CE4">
              <w:rPr>
                <w:sz w:val="24"/>
                <w:szCs w:val="24"/>
              </w:rPr>
              <w:t>Other specific Council exemptions</w:t>
            </w:r>
          </w:p>
          <w:p w14:paraId="2794DD17" w14:textId="77777777" w:rsidR="00234C0E" w:rsidRPr="00766CE4" w:rsidRDefault="00234C0E" w:rsidP="00A17C90">
            <w:pPr>
              <w:rPr>
                <w:sz w:val="24"/>
                <w:szCs w:val="24"/>
              </w:rPr>
            </w:pPr>
            <w:r w:rsidRPr="00766CE4">
              <w:rPr>
                <w:sz w:val="24"/>
                <w:szCs w:val="24"/>
              </w:rPr>
              <w:t>(an annual exemption approval can be sought and obtained for these categories)</w:t>
            </w:r>
          </w:p>
        </w:tc>
        <w:tc>
          <w:tcPr>
            <w:tcW w:w="4111" w:type="dxa"/>
          </w:tcPr>
          <w:p w14:paraId="14F295CC" w14:textId="77777777" w:rsidR="00234C0E" w:rsidRPr="00766CE4" w:rsidRDefault="00234C0E" w:rsidP="00A17C90">
            <w:pPr>
              <w:rPr>
                <w:sz w:val="24"/>
                <w:szCs w:val="24"/>
              </w:rPr>
            </w:pPr>
            <w:r w:rsidRPr="00766CE4">
              <w:rPr>
                <w:sz w:val="24"/>
                <w:szCs w:val="24"/>
              </w:rPr>
              <w:t>Advertising – Newspapers, Media;</w:t>
            </w:r>
          </w:p>
          <w:p w14:paraId="39696FCD" w14:textId="77777777" w:rsidR="00234C0E" w:rsidRPr="00766CE4" w:rsidRDefault="00234C0E" w:rsidP="00A17C90">
            <w:pPr>
              <w:rPr>
                <w:sz w:val="24"/>
                <w:szCs w:val="24"/>
              </w:rPr>
            </w:pPr>
            <w:r w:rsidRPr="00766CE4">
              <w:rPr>
                <w:sz w:val="24"/>
                <w:szCs w:val="24"/>
              </w:rPr>
              <w:t>Contributions;</w:t>
            </w:r>
          </w:p>
          <w:p w14:paraId="1CF2EA42" w14:textId="77777777" w:rsidR="00234C0E" w:rsidRPr="00766CE4" w:rsidRDefault="00234C0E" w:rsidP="00A17C90">
            <w:pPr>
              <w:rPr>
                <w:sz w:val="24"/>
                <w:szCs w:val="24"/>
              </w:rPr>
            </w:pPr>
            <w:r w:rsidRPr="00766CE4">
              <w:rPr>
                <w:sz w:val="24"/>
                <w:szCs w:val="24"/>
              </w:rPr>
              <w:t>Donations, Grants to Community charities;</w:t>
            </w:r>
          </w:p>
          <w:p w14:paraId="2E11B733" w14:textId="77777777" w:rsidR="00234C0E" w:rsidRPr="00766CE4" w:rsidRDefault="00234C0E" w:rsidP="00A17C90">
            <w:pPr>
              <w:rPr>
                <w:sz w:val="24"/>
                <w:szCs w:val="24"/>
              </w:rPr>
            </w:pPr>
            <w:r w:rsidRPr="00766CE4">
              <w:rPr>
                <w:sz w:val="24"/>
                <w:szCs w:val="24"/>
              </w:rPr>
              <w:t>Fees &amp; Subscriptions – Conference/Forum expenses, membership fees and subscriptions (non-IT);</w:t>
            </w:r>
          </w:p>
          <w:p w14:paraId="78ADF578" w14:textId="77777777" w:rsidR="00234C0E" w:rsidRPr="00766CE4" w:rsidRDefault="00234C0E" w:rsidP="00A17C90">
            <w:pPr>
              <w:rPr>
                <w:sz w:val="24"/>
                <w:szCs w:val="24"/>
              </w:rPr>
            </w:pPr>
            <w:r w:rsidRPr="00766CE4">
              <w:rPr>
                <w:sz w:val="24"/>
                <w:szCs w:val="24"/>
              </w:rPr>
              <w:t>Medical Expenses, Police Checks;</w:t>
            </w:r>
          </w:p>
          <w:p w14:paraId="44AEE38C" w14:textId="77777777" w:rsidR="00234C0E" w:rsidRPr="00766CE4" w:rsidRDefault="00234C0E" w:rsidP="00A17C90">
            <w:pPr>
              <w:rPr>
                <w:sz w:val="24"/>
                <w:szCs w:val="24"/>
              </w:rPr>
            </w:pPr>
            <w:r w:rsidRPr="00766CE4">
              <w:rPr>
                <w:sz w:val="24"/>
                <w:szCs w:val="24"/>
              </w:rPr>
              <w:t>Postal Services – Postage and Delivery Charges;</w:t>
            </w:r>
          </w:p>
          <w:p w14:paraId="045C3B85" w14:textId="77777777" w:rsidR="00234C0E" w:rsidRPr="00766CE4" w:rsidRDefault="00234C0E" w:rsidP="00A17C90">
            <w:pPr>
              <w:rPr>
                <w:sz w:val="24"/>
                <w:szCs w:val="24"/>
              </w:rPr>
            </w:pPr>
            <w:r w:rsidRPr="00766CE4">
              <w:rPr>
                <w:sz w:val="24"/>
                <w:szCs w:val="24"/>
              </w:rPr>
              <w:t>Venue Hire, External Training;</w:t>
            </w:r>
          </w:p>
          <w:p w14:paraId="6163FFA2" w14:textId="77777777" w:rsidR="00234C0E" w:rsidRPr="00766CE4" w:rsidRDefault="00234C0E" w:rsidP="00A17C90">
            <w:pPr>
              <w:rPr>
                <w:sz w:val="24"/>
                <w:szCs w:val="24"/>
              </w:rPr>
            </w:pPr>
            <w:r w:rsidRPr="00766CE4">
              <w:rPr>
                <w:sz w:val="24"/>
                <w:szCs w:val="24"/>
              </w:rPr>
              <w:t>Travel Expenses – Airfares, Accommodation, Taxi, Car Hire, Public Transport &amp; Tolls;</w:t>
            </w:r>
          </w:p>
          <w:p w14:paraId="5452CB08" w14:textId="77777777" w:rsidR="00234C0E" w:rsidRPr="00766CE4" w:rsidRDefault="00234C0E" w:rsidP="00A17C90">
            <w:pPr>
              <w:rPr>
                <w:sz w:val="24"/>
                <w:szCs w:val="24"/>
              </w:rPr>
            </w:pPr>
            <w:r w:rsidRPr="00766CE4">
              <w:rPr>
                <w:sz w:val="24"/>
                <w:szCs w:val="24"/>
              </w:rPr>
              <w:t>Utilities;</w:t>
            </w:r>
          </w:p>
        </w:tc>
        <w:tc>
          <w:tcPr>
            <w:tcW w:w="1718" w:type="dxa"/>
          </w:tcPr>
          <w:p w14:paraId="62514C5E" w14:textId="77777777" w:rsidR="00234C0E" w:rsidRPr="00766CE4" w:rsidRDefault="0087785E" w:rsidP="00A17C90">
            <w:pPr>
              <w:rPr>
                <w:sz w:val="24"/>
                <w:szCs w:val="24"/>
              </w:rPr>
            </w:pPr>
            <w:r w:rsidRPr="00766CE4">
              <w:rPr>
                <w:sz w:val="24"/>
                <w:szCs w:val="24"/>
              </w:rPr>
              <w:t>yes</w:t>
            </w:r>
          </w:p>
          <w:p w14:paraId="3F2649A3" w14:textId="7EA9AB3E" w:rsidR="0087785E" w:rsidRPr="00766CE4" w:rsidRDefault="0087785E" w:rsidP="0087785E">
            <w:pPr>
              <w:rPr>
                <w:sz w:val="24"/>
                <w:szCs w:val="24"/>
              </w:rPr>
            </w:pPr>
          </w:p>
        </w:tc>
        <w:tc>
          <w:tcPr>
            <w:tcW w:w="1419" w:type="dxa"/>
          </w:tcPr>
          <w:p w14:paraId="1B3BD920" w14:textId="3482822B" w:rsidR="00234C0E" w:rsidRPr="00766CE4" w:rsidRDefault="0087785E" w:rsidP="00A17C90">
            <w:pPr>
              <w:rPr>
                <w:sz w:val="24"/>
                <w:szCs w:val="24"/>
              </w:rPr>
            </w:pPr>
            <w:r w:rsidRPr="00766CE4">
              <w:rPr>
                <w:sz w:val="24"/>
                <w:szCs w:val="24"/>
              </w:rPr>
              <w:t>yes</w:t>
            </w:r>
          </w:p>
        </w:tc>
      </w:tr>
    </w:tbl>
    <w:p w14:paraId="70D708DD" w14:textId="400F73EF" w:rsidR="00457B88" w:rsidRPr="005F6A36" w:rsidRDefault="00457B88" w:rsidP="00457B88">
      <w:pPr>
        <w:pStyle w:val="Heading1"/>
        <w:keepLines/>
        <w:spacing w:before="480" w:after="0" w:line="276" w:lineRule="auto"/>
        <w:ind w:left="426"/>
        <w:rPr>
          <w:sz w:val="36"/>
          <w:szCs w:val="36"/>
        </w:rPr>
      </w:pPr>
      <w:bookmarkStart w:id="1442" w:name="_Toc240536494"/>
      <w:r w:rsidRPr="005F6A36">
        <w:rPr>
          <w:sz w:val="36"/>
          <w:szCs w:val="36"/>
        </w:rPr>
        <w:t>Appendix D: Legislative Compliance and Related Policies</w:t>
      </w:r>
      <w:bookmarkEnd w:id="1442"/>
    </w:p>
    <w:p w14:paraId="7B65CDA8" w14:textId="77777777" w:rsidR="00AE034D" w:rsidRPr="005F6A36" w:rsidRDefault="00AE034D" w:rsidP="00AE034D">
      <w:pPr>
        <w:rPr>
          <w:b/>
          <w:bCs/>
          <w:sz w:val="21"/>
          <w:szCs w:val="21"/>
        </w:rPr>
      </w:pPr>
    </w:p>
    <w:p w14:paraId="4D699092" w14:textId="77777777" w:rsidR="00AE034D" w:rsidRPr="00766CE4" w:rsidRDefault="00AE034D" w:rsidP="00A324D3">
      <w:pPr>
        <w:ind w:firstLine="426"/>
        <w:rPr>
          <w:b/>
          <w:bCs/>
          <w:sz w:val="24"/>
          <w:szCs w:val="24"/>
        </w:rPr>
      </w:pPr>
      <w:r w:rsidRPr="00766CE4">
        <w:rPr>
          <w:b/>
          <w:bCs/>
          <w:sz w:val="24"/>
          <w:szCs w:val="24"/>
        </w:rPr>
        <w:t>The key legislative requirements include compliance with:</w:t>
      </w:r>
    </w:p>
    <w:p w14:paraId="65DC0C99" w14:textId="0083D0E7" w:rsidR="00AE034D" w:rsidRPr="00766CE4" w:rsidRDefault="00AE034D" w:rsidP="00554E05">
      <w:pPr>
        <w:pStyle w:val="ListParagraph"/>
        <w:numPr>
          <w:ilvl w:val="0"/>
          <w:numId w:val="33"/>
        </w:numPr>
        <w:rPr>
          <w:rFonts w:cs="Arial"/>
          <w:sz w:val="24"/>
          <w:szCs w:val="24"/>
        </w:rPr>
      </w:pPr>
      <w:r w:rsidRPr="00766CE4">
        <w:rPr>
          <w:rFonts w:cs="Arial"/>
          <w:sz w:val="24"/>
          <w:szCs w:val="24"/>
        </w:rPr>
        <w:t>Part 5 Division 1 – Service Performance Sections 106 (c) LGA2020;</w:t>
      </w:r>
    </w:p>
    <w:p w14:paraId="45DC4870" w14:textId="4A60DEE8" w:rsidR="00AE034D" w:rsidRPr="00766CE4" w:rsidRDefault="00AE034D" w:rsidP="00554E05">
      <w:pPr>
        <w:pStyle w:val="ListParagraph"/>
        <w:numPr>
          <w:ilvl w:val="0"/>
          <w:numId w:val="33"/>
        </w:numPr>
        <w:rPr>
          <w:rFonts w:cs="Arial"/>
          <w:sz w:val="24"/>
          <w:szCs w:val="24"/>
        </w:rPr>
      </w:pPr>
      <w:r w:rsidRPr="00766CE4">
        <w:rPr>
          <w:rFonts w:cs="Arial"/>
          <w:sz w:val="24"/>
          <w:szCs w:val="24"/>
        </w:rPr>
        <w:t>Part 5 Division 2 – Procurement Sections 108 &amp; 109 LGA2020;</w:t>
      </w:r>
    </w:p>
    <w:p w14:paraId="2ED3B805" w14:textId="3215E498" w:rsidR="00AE034D" w:rsidRPr="00766CE4" w:rsidRDefault="00AE034D" w:rsidP="00554E05">
      <w:pPr>
        <w:pStyle w:val="ListParagraph"/>
        <w:numPr>
          <w:ilvl w:val="0"/>
          <w:numId w:val="33"/>
        </w:numPr>
        <w:rPr>
          <w:rFonts w:cs="Arial"/>
          <w:sz w:val="24"/>
          <w:szCs w:val="24"/>
        </w:rPr>
      </w:pPr>
      <w:r w:rsidRPr="00766CE4">
        <w:rPr>
          <w:rFonts w:cs="Arial"/>
          <w:sz w:val="24"/>
          <w:szCs w:val="24"/>
        </w:rPr>
        <w:t>Division 7 – Delegations by Chief Executive Officer Section 47 LGA2020– Chief Executive Officer and members of council staff;</w:t>
      </w:r>
    </w:p>
    <w:p w14:paraId="0B476EA9" w14:textId="455D05A1" w:rsidR="00AE034D" w:rsidRPr="00766CE4" w:rsidRDefault="00AE034D" w:rsidP="00554E05">
      <w:pPr>
        <w:pStyle w:val="ListParagraph"/>
        <w:numPr>
          <w:ilvl w:val="0"/>
          <w:numId w:val="33"/>
        </w:numPr>
        <w:rPr>
          <w:rFonts w:cs="Arial"/>
          <w:sz w:val="24"/>
          <w:szCs w:val="24"/>
        </w:rPr>
      </w:pPr>
      <w:r w:rsidRPr="00766CE4">
        <w:rPr>
          <w:rFonts w:cs="Arial"/>
          <w:sz w:val="24"/>
          <w:szCs w:val="24"/>
        </w:rPr>
        <w:t xml:space="preserve">Part 6 - Division 2 LGA2020 – Conflict of Interest; </w:t>
      </w:r>
    </w:p>
    <w:p w14:paraId="4E6D10E0" w14:textId="65F0B0A0" w:rsidR="00AE034D" w:rsidRPr="00766CE4" w:rsidRDefault="00AE034D" w:rsidP="00554E05">
      <w:pPr>
        <w:pStyle w:val="ListParagraph"/>
        <w:numPr>
          <w:ilvl w:val="0"/>
          <w:numId w:val="33"/>
        </w:numPr>
        <w:rPr>
          <w:rFonts w:cs="Arial"/>
          <w:sz w:val="24"/>
          <w:szCs w:val="24"/>
        </w:rPr>
      </w:pPr>
      <w:r w:rsidRPr="00766CE4">
        <w:rPr>
          <w:rFonts w:cs="Arial"/>
          <w:sz w:val="24"/>
          <w:szCs w:val="24"/>
        </w:rPr>
        <w:t>The relevant provisions of the Competition and Consumer Act 2010;</w:t>
      </w:r>
    </w:p>
    <w:p w14:paraId="492D4627" w14:textId="5CD592E5" w:rsidR="00AE034D" w:rsidRPr="00766CE4" w:rsidRDefault="00AE034D" w:rsidP="00554E05">
      <w:pPr>
        <w:pStyle w:val="ListParagraph"/>
        <w:numPr>
          <w:ilvl w:val="0"/>
          <w:numId w:val="33"/>
        </w:numPr>
        <w:rPr>
          <w:rFonts w:cs="Arial"/>
          <w:sz w:val="24"/>
          <w:szCs w:val="24"/>
        </w:rPr>
      </w:pPr>
      <w:r w:rsidRPr="00766CE4">
        <w:rPr>
          <w:rFonts w:cs="Arial"/>
          <w:sz w:val="24"/>
          <w:szCs w:val="24"/>
        </w:rPr>
        <w:t>Charter for Human Rights and Responsibilities Act (2006);</w:t>
      </w:r>
    </w:p>
    <w:p w14:paraId="68E92BC5" w14:textId="368F9400" w:rsidR="00AE034D" w:rsidRPr="00766CE4" w:rsidRDefault="00AE034D" w:rsidP="00554E05">
      <w:pPr>
        <w:pStyle w:val="ListParagraph"/>
        <w:numPr>
          <w:ilvl w:val="0"/>
          <w:numId w:val="33"/>
        </w:numPr>
        <w:rPr>
          <w:rFonts w:cs="Arial"/>
          <w:sz w:val="24"/>
          <w:szCs w:val="24"/>
        </w:rPr>
      </w:pPr>
      <w:r w:rsidRPr="00766CE4">
        <w:rPr>
          <w:rFonts w:cs="Arial"/>
          <w:sz w:val="24"/>
          <w:szCs w:val="24"/>
        </w:rPr>
        <w:t>Protected Disclosure Act 2012.;</w:t>
      </w:r>
    </w:p>
    <w:p w14:paraId="54410A18" w14:textId="42B03A7A" w:rsidR="00AE034D" w:rsidRPr="00766CE4" w:rsidRDefault="00AE034D" w:rsidP="00554E05">
      <w:pPr>
        <w:pStyle w:val="ListParagraph"/>
        <w:numPr>
          <w:ilvl w:val="0"/>
          <w:numId w:val="33"/>
        </w:numPr>
        <w:rPr>
          <w:rFonts w:cs="Arial"/>
          <w:sz w:val="24"/>
          <w:szCs w:val="24"/>
        </w:rPr>
      </w:pPr>
      <w:r w:rsidRPr="00766CE4">
        <w:rPr>
          <w:rFonts w:cs="Arial"/>
          <w:sz w:val="24"/>
          <w:szCs w:val="24"/>
        </w:rPr>
        <w:t>Relevant provisions of the Competition and Consumer Act 2010 (Cth)</w:t>
      </w:r>
    </w:p>
    <w:p w14:paraId="5E2D1947" w14:textId="649502CD" w:rsidR="00AE034D" w:rsidRPr="00766CE4" w:rsidRDefault="00AE034D" w:rsidP="00554E05">
      <w:pPr>
        <w:pStyle w:val="ListParagraph"/>
        <w:numPr>
          <w:ilvl w:val="0"/>
          <w:numId w:val="33"/>
        </w:numPr>
        <w:rPr>
          <w:rFonts w:cs="Arial"/>
          <w:sz w:val="24"/>
          <w:szCs w:val="24"/>
        </w:rPr>
      </w:pPr>
      <w:r w:rsidRPr="00766CE4">
        <w:rPr>
          <w:rFonts w:cs="Arial"/>
          <w:sz w:val="24"/>
          <w:szCs w:val="24"/>
        </w:rPr>
        <w:t>Gender Equality Act 2020;</w:t>
      </w:r>
    </w:p>
    <w:p w14:paraId="032F9B7A" w14:textId="230A9F0E" w:rsidR="00AE034D" w:rsidRPr="00766CE4" w:rsidRDefault="00AE034D" w:rsidP="00554E05">
      <w:pPr>
        <w:pStyle w:val="ListParagraph"/>
        <w:numPr>
          <w:ilvl w:val="0"/>
          <w:numId w:val="33"/>
        </w:numPr>
        <w:rPr>
          <w:rFonts w:cs="Arial"/>
          <w:sz w:val="24"/>
          <w:szCs w:val="24"/>
        </w:rPr>
      </w:pPr>
      <w:r w:rsidRPr="00766CE4">
        <w:rPr>
          <w:rFonts w:cs="Arial"/>
          <w:sz w:val="24"/>
          <w:szCs w:val="24"/>
        </w:rPr>
        <w:t>Modern Slavery Act 2018 (Cth);</w:t>
      </w:r>
    </w:p>
    <w:p w14:paraId="546C5343" w14:textId="64B2888F" w:rsidR="00AE034D" w:rsidRPr="00766CE4" w:rsidRDefault="00AE034D" w:rsidP="00554E05">
      <w:pPr>
        <w:pStyle w:val="ListParagraph"/>
        <w:numPr>
          <w:ilvl w:val="0"/>
          <w:numId w:val="33"/>
        </w:numPr>
        <w:rPr>
          <w:rFonts w:cs="Arial"/>
          <w:sz w:val="24"/>
          <w:szCs w:val="24"/>
        </w:rPr>
      </w:pPr>
      <w:r w:rsidRPr="00766CE4">
        <w:rPr>
          <w:rFonts w:cs="Arial"/>
          <w:sz w:val="24"/>
          <w:szCs w:val="24"/>
        </w:rPr>
        <w:t xml:space="preserve">Occupational Health and Safety Act 2004; </w:t>
      </w:r>
    </w:p>
    <w:p w14:paraId="5AC3172B" w14:textId="2CEBB3B2" w:rsidR="00AE034D" w:rsidRPr="00766CE4" w:rsidRDefault="00AE034D" w:rsidP="00554E05">
      <w:pPr>
        <w:pStyle w:val="ListParagraph"/>
        <w:numPr>
          <w:ilvl w:val="0"/>
          <w:numId w:val="33"/>
        </w:numPr>
        <w:rPr>
          <w:rFonts w:cs="Arial"/>
          <w:sz w:val="24"/>
          <w:szCs w:val="24"/>
        </w:rPr>
      </w:pPr>
      <w:r w:rsidRPr="00766CE4">
        <w:rPr>
          <w:rFonts w:cs="Arial"/>
          <w:sz w:val="24"/>
          <w:szCs w:val="24"/>
        </w:rPr>
        <w:t>Working with Children Act 2005 and Working with Children Regulation 2016</w:t>
      </w:r>
    </w:p>
    <w:p w14:paraId="095CB7B3" w14:textId="3F6B16ED" w:rsidR="00AE034D" w:rsidRPr="00766CE4" w:rsidRDefault="00AE034D" w:rsidP="00554E05">
      <w:pPr>
        <w:pStyle w:val="ListParagraph"/>
        <w:numPr>
          <w:ilvl w:val="0"/>
          <w:numId w:val="33"/>
        </w:numPr>
        <w:rPr>
          <w:rFonts w:cs="Arial"/>
          <w:sz w:val="24"/>
          <w:szCs w:val="24"/>
        </w:rPr>
      </w:pPr>
      <w:r w:rsidRPr="00766CE4">
        <w:rPr>
          <w:rFonts w:cs="Arial"/>
          <w:sz w:val="24"/>
          <w:szCs w:val="24"/>
        </w:rPr>
        <w:t>Freedom of Information Act 1982;</w:t>
      </w:r>
    </w:p>
    <w:p w14:paraId="44FFF0CB" w14:textId="3539658B" w:rsidR="00AE034D" w:rsidRPr="00766CE4" w:rsidRDefault="00AE034D" w:rsidP="00554E05">
      <w:pPr>
        <w:pStyle w:val="ListParagraph"/>
        <w:numPr>
          <w:ilvl w:val="0"/>
          <w:numId w:val="33"/>
        </w:numPr>
        <w:rPr>
          <w:rFonts w:cs="Arial"/>
          <w:sz w:val="24"/>
          <w:szCs w:val="24"/>
        </w:rPr>
      </w:pPr>
      <w:r w:rsidRPr="00766CE4">
        <w:rPr>
          <w:rFonts w:cs="Arial"/>
          <w:sz w:val="24"/>
          <w:szCs w:val="24"/>
        </w:rPr>
        <w:t>Privacy and Data Protection Act 2014;</w:t>
      </w:r>
    </w:p>
    <w:p w14:paraId="29C58060" w14:textId="15B6DE24" w:rsidR="00AE034D" w:rsidRPr="00766CE4" w:rsidRDefault="00AE034D" w:rsidP="00554E05">
      <w:pPr>
        <w:pStyle w:val="ListParagraph"/>
        <w:numPr>
          <w:ilvl w:val="0"/>
          <w:numId w:val="33"/>
        </w:numPr>
        <w:rPr>
          <w:rFonts w:cs="Arial"/>
          <w:sz w:val="24"/>
          <w:szCs w:val="24"/>
        </w:rPr>
      </w:pPr>
      <w:r w:rsidRPr="00766CE4">
        <w:rPr>
          <w:rFonts w:cs="Arial"/>
          <w:sz w:val="24"/>
          <w:szCs w:val="24"/>
        </w:rPr>
        <w:t>Public Records Act 1973;</w:t>
      </w:r>
    </w:p>
    <w:p w14:paraId="18DABA8B" w14:textId="4E036E8F" w:rsidR="00AE034D" w:rsidRPr="00766CE4" w:rsidRDefault="00AE034D" w:rsidP="00554E05">
      <w:pPr>
        <w:pStyle w:val="ListParagraph"/>
        <w:numPr>
          <w:ilvl w:val="0"/>
          <w:numId w:val="33"/>
        </w:numPr>
        <w:rPr>
          <w:rFonts w:cs="Arial"/>
          <w:sz w:val="24"/>
          <w:szCs w:val="24"/>
        </w:rPr>
      </w:pPr>
      <w:r w:rsidRPr="00766CE4">
        <w:rPr>
          <w:rFonts w:cs="Arial"/>
          <w:sz w:val="24"/>
          <w:szCs w:val="24"/>
        </w:rPr>
        <w:t>Building &amp; Construction Industry Security of Payment Act 2002;</w:t>
      </w:r>
    </w:p>
    <w:p w14:paraId="1A332DE8" w14:textId="31FA2E2E" w:rsidR="00AE034D" w:rsidRPr="00766CE4" w:rsidRDefault="00AE034D" w:rsidP="00554E05">
      <w:pPr>
        <w:pStyle w:val="ListParagraph"/>
        <w:numPr>
          <w:ilvl w:val="0"/>
          <w:numId w:val="33"/>
        </w:numPr>
        <w:rPr>
          <w:rFonts w:cs="Arial"/>
          <w:sz w:val="24"/>
          <w:szCs w:val="24"/>
        </w:rPr>
      </w:pPr>
      <w:r w:rsidRPr="00766CE4">
        <w:rPr>
          <w:rFonts w:cs="Arial"/>
          <w:sz w:val="24"/>
          <w:szCs w:val="24"/>
        </w:rPr>
        <w:t>Local Government (Governance and Integrity) Regulations 2020;</w:t>
      </w:r>
    </w:p>
    <w:p w14:paraId="3874D4BB" w14:textId="1756C3FA" w:rsidR="00AE034D" w:rsidRPr="00766CE4" w:rsidRDefault="00AE034D" w:rsidP="00554E05">
      <w:pPr>
        <w:pStyle w:val="ListParagraph"/>
        <w:numPr>
          <w:ilvl w:val="0"/>
          <w:numId w:val="33"/>
        </w:numPr>
        <w:rPr>
          <w:rFonts w:cs="Arial"/>
          <w:sz w:val="24"/>
          <w:szCs w:val="24"/>
        </w:rPr>
      </w:pPr>
      <w:r w:rsidRPr="00766CE4">
        <w:rPr>
          <w:rFonts w:cs="Arial"/>
          <w:sz w:val="24"/>
          <w:szCs w:val="24"/>
        </w:rPr>
        <w:t>Local Government (Planning and Reporting) Regulations 2020; and</w:t>
      </w:r>
    </w:p>
    <w:p w14:paraId="7511CD4B" w14:textId="1C9EBA73" w:rsidR="00AE034D" w:rsidRPr="00766CE4" w:rsidRDefault="00AE034D" w:rsidP="00554E05">
      <w:pPr>
        <w:pStyle w:val="ListParagraph"/>
        <w:numPr>
          <w:ilvl w:val="0"/>
          <w:numId w:val="33"/>
        </w:numPr>
        <w:rPr>
          <w:rFonts w:cs="Arial"/>
          <w:sz w:val="24"/>
          <w:szCs w:val="24"/>
        </w:rPr>
      </w:pPr>
      <w:r w:rsidRPr="00766CE4">
        <w:rPr>
          <w:rFonts w:cs="Arial"/>
          <w:sz w:val="24"/>
          <w:szCs w:val="24"/>
        </w:rPr>
        <w:t>Other relevant Australian Standards or legislation.</w:t>
      </w:r>
    </w:p>
    <w:p w14:paraId="77954D61" w14:textId="77777777" w:rsidR="00554E05" w:rsidRPr="005F6A36" w:rsidRDefault="00554E05" w:rsidP="00AE034D">
      <w:pPr>
        <w:rPr>
          <w:sz w:val="21"/>
          <w:szCs w:val="21"/>
        </w:rPr>
      </w:pPr>
    </w:p>
    <w:p w14:paraId="0A3F7A4A" w14:textId="3EA5BECB" w:rsidR="00AE034D" w:rsidRPr="00766CE4" w:rsidRDefault="00AE034D" w:rsidP="00A324D3">
      <w:pPr>
        <w:ind w:left="720"/>
        <w:rPr>
          <w:b/>
          <w:bCs/>
          <w:sz w:val="24"/>
          <w:szCs w:val="24"/>
        </w:rPr>
      </w:pPr>
      <w:r w:rsidRPr="00766CE4">
        <w:rPr>
          <w:b/>
          <w:bCs/>
          <w:sz w:val="24"/>
          <w:szCs w:val="24"/>
        </w:rPr>
        <w:t>The key Council policies and procedures related to this Procurement Policy are listed below:</w:t>
      </w:r>
    </w:p>
    <w:p w14:paraId="40432161" w14:textId="6B855CAC" w:rsidR="00AE034D" w:rsidRPr="00766CE4" w:rsidRDefault="00AE034D" w:rsidP="00554E05">
      <w:pPr>
        <w:pStyle w:val="ListParagraph"/>
        <w:numPr>
          <w:ilvl w:val="0"/>
          <w:numId w:val="33"/>
        </w:numPr>
        <w:rPr>
          <w:rFonts w:cs="Arial"/>
          <w:sz w:val="24"/>
          <w:szCs w:val="24"/>
        </w:rPr>
      </w:pPr>
      <w:r w:rsidRPr="00766CE4">
        <w:rPr>
          <w:rFonts w:cs="Arial"/>
          <w:sz w:val="24"/>
          <w:szCs w:val="24"/>
        </w:rPr>
        <w:t>Procurement Manual;</w:t>
      </w:r>
    </w:p>
    <w:p w14:paraId="6A645E6D" w14:textId="61871D01" w:rsidR="00AE034D" w:rsidRPr="00766CE4" w:rsidRDefault="00AE034D" w:rsidP="00554E05">
      <w:pPr>
        <w:pStyle w:val="ListParagraph"/>
        <w:numPr>
          <w:ilvl w:val="0"/>
          <w:numId w:val="33"/>
        </w:numPr>
        <w:rPr>
          <w:rFonts w:cs="Arial"/>
          <w:sz w:val="24"/>
          <w:szCs w:val="24"/>
        </w:rPr>
      </w:pPr>
      <w:r w:rsidRPr="00766CE4">
        <w:rPr>
          <w:rFonts w:cs="Arial"/>
          <w:sz w:val="24"/>
          <w:szCs w:val="24"/>
        </w:rPr>
        <w:t xml:space="preserve">Purchasing Card Policy and Procedures: </w:t>
      </w:r>
    </w:p>
    <w:p w14:paraId="278773C9" w14:textId="78316BDE" w:rsidR="00AE034D" w:rsidRPr="00766CE4" w:rsidRDefault="00AE034D" w:rsidP="00554E05">
      <w:pPr>
        <w:pStyle w:val="ListParagraph"/>
        <w:numPr>
          <w:ilvl w:val="0"/>
          <w:numId w:val="33"/>
        </w:numPr>
        <w:rPr>
          <w:rFonts w:cs="Arial"/>
          <w:sz w:val="24"/>
          <w:szCs w:val="24"/>
        </w:rPr>
      </w:pPr>
      <w:r w:rsidRPr="00766CE4">
        <w:rPr>
          <w:rFonts w:cs="Arial"/>
          <w:sz w:val="24"/>
          <w:szCs w:val="24"/>
        </w:rPr>
        <w:t>Financial Delegations Register;</w:t>
      </w:r>
    </w:p>
    <w:p w14:paraId="1271A6FC" w14:textId="5F33CB5C" w:rsidR="00AE034D" w:rsidRPr="00766CE4" w:rsidRDefault="00AE034D" w:rsidP="00554E05">
      <w:pPr>
        <w:pStyle w:val="ListParagraph"/>
        <w:numPr>
          <w:ilvl w:val="0"/>
          <w:numId w:val="33"/>
        </w:numPr>
        <w:rPr>
          <w:rFonts w:cs="Arial"/>
          <w:sz w:val="24"/>
          <w:szCs w:val="24"/>
        </w:rPr>
      </w:pPr>
      <w:r w:rsidRPr="00766CE4">
        <w:rPr>
          <w:rFonts w:cs="Arial"/>
          <w:sz w:val="24"/>
          <w:szCs w:val="24"/>
        </w:rPr>
        <w:t>Fraud and Corruption Policy &amp; Procedure;</w:t>
      </w:r>
    </w:p>
    <w:p w14:paraId="2D1FD788" w14:textId="22626E89" w:rsidR="00AE034D" w:rsidRPr="00766CE4" w:rsidRDefault="00AE034D" w:rsidP="00554E05">
      <w:pPr>
        <w:pStyle w:val="ListParagraph"/>
        <w:numPr>
          <w:ilvl w:val="0"/>
          <w:numId w:val="33"/>
        </w:numPr>
        <w:rPr>
          <w:rFonts w:cs="Arial"/>
          <w:sz w:val="24"/>
          <w:szCs w:val="24"/>
        </w:rPr>
      </w:pPr>
      <w:r w:rsidRPr="00766CE4">
        <w:rPr>
          <w:rFonts w:cs="Arial"/>
          <w:sz w:val="24"/>
          <w:szCs w:val="24"/>
        </w:rPr>
        <w:t>Staff Gifts, Hospitality Disclosure Policy;</w:t>
      </w:r>
    </w:p>
    <w:p w14:paraId="399C48E9" w14:textId="6CC2E992" w:rsidR="00AE034D" w:rsidRPr="00766CE4" w:rsidRDefault="00AE034D" w:rsidP="00554E05">
      <w:pPr>
        <w:pStyle w:val="ListParagraph"/>
        <w:numPr>
          <w:ilvl w:val="0"/>
          <w:numId w:val="33"/>
        </w:numPr>
        <w:rPr>
          <w:rFonts w:cs="Arial"/>
          <w:sz w:val="24"/>
          <w:szCs w:val="24"/>
        </w:rPr>
      </w:pPr>
      <w:r w:rsidRPr="00766CE4">
        <w:rPr>
          <w:rFonts w:cs="Arial"/>
          <w:sz w:val="24"/>
          <w:szCs w:val="24"/>
        </w:rPr>
        <w:t>Corporate Records Management Policy;</w:t>
      </w:r>
    </w:p>
    <w:p w14:paraId="3BA5D794" w14:textId="5B7E0B97" w:rsidR="00AE034D" w:rsidRPr="00766CE4" w:rsidRDefault="00AE034D" w:rsidP="00554E05">
      <w:pPr>
        <w:pStyle w:val="ListParagraph"/>
        <w:numPr>
          <w:ilvl w:val="0"/>
          <w:numId w:val="33"/>
        </w:numPr>
        <w:rPr>
          <w:rFonts w:cs="Arial"/>
          <w:sz w:val="24"/>
          <w:szCs w:val="24"/>
        </w:rPr>
      </w:pPr>
      <w:r w:rsidRPr="00766CE4">
        <w:rPr>
          <w:rFonts w:cs="Arial"/>
          <w:sz w:val="24"/>
          <w:szCs w:val="24"/>
        </w:rPr>
        <w:t>Conflict of Interest Policy;</w:t>
      </w:r>
    </w:p>
    <w:p w14:paraId="644C26CC" w14:textId="7FD92206" w:rsidR="00AE034D" w:rsidRPr="00766CE4" w:rsidRDefault="00AE034D" w:rsidP="00554E05">
      <w:pPr>
        <w:pStyle w:val="ListParagraph"/>
        <w:numPr>
          <w:ilvl w:val="0"/>
          <w:numId w:val="33"/>
        </w:numPr>
        <w:rPr>
          <w:rFonts w:cs="Arial"/>
          <w:sz w:val="24"/>
          <w:szCs w:val="24"/>
        </w:rPr>
      </w:pPr>
      <w:r w:rsidRPr="00766CE4">
        <w:rPr>
          <w:rFonts w:cs="Arial"/>
          <w:sz w:val="24"/>
          <w:szCs w:val="24"/>
        </w:rPr>
        <w:t>Code of Conduct for Tender Panel Members; and</w:t>
      </w:r>
    </w:p>
    <w:p w14:paraId="58795EBD" w14:textId="758511E8" w:rsidR="00AE034D" w:rsidRPr="00766CE4" w:rsidRDefault="00AE034D" w:rsidP="00554E05">
      <w:pPr>
        <w:pStyle w:val="ListParagraph"/>
        <w:numPr>
          <w:ilvl w:val="0"/>
          <w:numId w:val="33"/>
        </w:numPr>
        <w:rPr>
          <w:rFonts w:cs="Arial"/>
          <w:sz w:val="24"/>
          <w:szCs w:val="24"/>
        </w:rPr>
      </w:pPr>
      <w:r w:rsidRPr="00766CE4">
        <w:rPr>
          <w:rFonts w:cs="Arial"/>
          <w:sz w:val="24"/>
          <w:szCs w:val="24"/>
        </w:rPr>
        <w:t>Council’s Access and Inclusion Plan.</w:t>
      </w:r>
    </w:p>
    <w:p w14:paraId="1C5E912D" w14:textId="77777777" w:rsidR="00554E05" w:rsidRPr="00766CE4" w:rsidRDefault="00554E05" w:rsidP="00AE034D">
      <w:pPr>
        <w:rPr>
          <w:sz w:val="24"/>
          <w:szCs w:val="24"/>
        </w:rPr>
      </w:pPr>
    </w:p>
    <w:p w14:paraId="57CB6F38" w14:textId="35C68810" w:rsidR="00457B88" w:rsidRPr="00766CE4" w:rsidRDefault="00AE034D" w:rsidP="00A324D3">
      <w:pPr>
        <w:ind w:left="720"/>
        <w:rPr>
          <w:sz w:val="24"/>
          <w:szCs w:val="24"/>
        </w:rPr>
      </w:pPr>
      <w:r w:rsidRPr="00766CE4">
        <w:rPr>
          <w:sz w:val="24"/>
          <w:szCs w:val="24"/>
        </w:rPr>
        <w:t>Council is required to comply with the provisions of the above related legislation, policies and manuals in all procurement matters.</w:t>
      </w:r>
    </w:p>
    <w:sectPr w:rsidR="00457B88" w:rsidRPr="00766CE4" w:rsidSect="00DA45C8">
      <w:headerReference w:type="even" r:id="rId19"/>
      <w:headerReference w:type="default" r:id="rId20"/>
      <w:headerReference w:type="first" r:id="rId21"/>
      <w:pgSz w:w="11907" w:h="16840" w:code="9"/>
      <w:pgMar w:top="1729" w:right="1134" w:bottom="1134" w:left="1134" w:header="454"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13D8D" w14:textId="77777777" w:rsidR="00D85EE0" w:rsidRDefault="00D85EE0" w:rsidP="00CE604F">
      <w:r>
        <w:separator/>
      </w:r>
    </w:p>
    <w:p w14:paraId="7B03196B" w14:textId="77777777" w:rsidR="00D85EE0" w:rsidRDefault="00D85EE0" w:rsidP="00CE604F"/>
    <w:p w14:paraId="40F31DD9" w14:textId="77777777" w:rsidR="00D85EE0" w:rsidRDefault="00D85EE0" w:rsidP="00CE604F"/>
    <w:p w14:paraId="49CCF0F6" w14:textId="77777777" w:rsidR="00D85EE0" w:rsidRDefault="00D85EE0" w:rsidP="00CE604F"/>
  </w:endnote>
  <w:endnote w:type="continuationSeparator" w:id="0">
    <w:p w14:paraId="2E2FB95D" w14:textId="77777777" w:rsidR="00D85EE0" w:rsidRDefault="00D85EE0" w:rsidP="00CE604F">
      <w:r>
        <w:continuationSeparator/>
      </w:r>
    </w:p>
    <w:p w14:paraId="77E6FB19" w14:textId="77777777" w:rsidR="00D85EE0" w:rsidRDefault="00D85EE0" w:rsidP="00CE604F"/>
    <w:p w14:paraId="733BF7DF" w14:textId="77777777" w:rsidR="00D85EE0" w:rsidRDefault="00D85EE0" w:rsidP="00CE604F"/>
    <w:p w14:paraId="5EA127B6" w14:textId="77777777" w:rsidR="00D85EE0" w:rsidRDefault="00D85EE0"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uli Light">
    <w:altName w:val="Calibri"/>
    <w:panose1 w:val="000004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Muli SemiBold">
    <w:altName w:val="Calibri"/>
    <w:panose1 w:val="00000700000000000000"/>
    <w:charset w:val="00"/>
    <w:family w:val="auto"/>
    <w:pitch w:val="variable"/>
    <w:sig w:usb0="20000007" w:usb1="00000001" w:usb2="00000000" w:usb3="00000000" w:csb0="00000193"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Gill Sans MT">
    <w:panose1 w:val="020B0502020104020203"/>
    <w:charset w:val="00"/>
    <w:family w:val="swiss"/>
    <w:pitch w:val="variable"/>
    <w:sig w:usb0="00000007" w:usb1="00000000" w:usb2="00000000" w:usb3="00000000" w:csb0="00000003" w:csb1="00000000"/>
  </w:font>
  <w:font w:name="Muli">
    <w:altName w:val="Calibri"/>
    <w:panose1 w:val="00000500000000000000"/>
    <w:charset w:val="00"/>
    <w:family w:val="auto"/>
    <w:pitch w:val="variable"/>
    <w:sig w:usb0="20000007" w:usb1="00000001" w:usb2="00000000" w:usb3="00000000" w:csb0="00000193"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ceholderTable"/>
      <w:tblpPr w:leftFromText="181" w:rightFromText="181" w:vertAnchor="page" w:tblpYSpec="bottom"/>
      <w:tblOverlap w:val="never"/>
      <w:tblW w:w="0" w:type="auto"/>
      <w:tblCellMar>
        <w:top w:w="28" w:type="dxa"/>
        <w:bottom w:w="170" w:type="dxa"/>
      </w:tblCellMar>
      <w:tblLook w:val="04A0" w:firstRow="1" w:lastRow="0" w:firstColumn="1" w:lastColumn="0" w:noHBand="0" w:noVBand="1"/>
    </w:tblPr>
    <w:tblGrid>
      <w:gridCol w:w="421"/>
      <w:gridCol w:w="4677"/>
    </w:tblGrid>
    <w:tr w:rsidR="00B27941" w14:paraId="61C9F111" w14:textId="77777777" w:rsidTr="005F0D4E">
      <w:trPr>
        <w:trHeight w:val="510"/>
        <w:tblHeader/>
      </w:trPr>
      <w:tc>
        <w:tcPr>
          <w:tcW w:w="421" w:type="dxa"/>
        </w:tcPr>
        <w:p w14:paraId="69EEA388" w14:textId="77777777" w:rsidR="00B27941" w:rsidRPr="00A324D3" w:rsidRDefault="00B27941" w:rsidP="00B8315B">
          <w:pPr>
            <w:pStyle w:val="Footer"/>
            <w:spacing w:line="200" w:lineRule="exact"/>
            <w:rPr>
              <w:rFonts w:ascii="Muli" w:hAnsi="Muli"/>
            </w:rPr>
          </w:pPr>
          <w:r w:rsidRPr="00A324D3">
            <w:rPr>
              <w:rFonts w:ascii="Muli" w:hAnsi="Muli"/>
              <w:color w:val="00B4EE" w:themeColor="accent1"/>
              <w:sz w:val="20"/>
            </w:rPr>
            <w:fldChar w:fldCharType="begin"/>
          </w:r>
          <w:r w:rsidRPr="00A324D3">
            <w:rPr>
              <w:rFonts w:ascii="Muli" w:hAnsi="Muli"/>
              <w:color w:val="00B4EE" w:themeColor="accent1"/>
              <w:sz w:val="20"/>
            </w:rPr>
            <w:instrText xml:space="preserve"> PAGE \# "00" </w:instrText>
          </w:r>
          <w:r w:rsidRPr="00A324D3">
            <w:rPr>
              <w:rFonts w:ascii="Muli" w:hAnsi="Muli"/>
              <w:color w:val="00B4EE" w:themeColor="accent1"/>
              <w:sz w:val="20"/>
            </w:rPr>
            <w:fldChar w:fldCharType="separate"/>
          </w:r>
          <w:r w:rsidRPr="00A324D3">
            <w:rPr>
              <w:rFonts w:ascii="Muli" w:hAnsi="Muli"/>
              <w:noProof/>
              <w:color w:val="00B4EE" w:themeColor="accent1"/>
              <w:sz w:val="20"/>
            </w:rPr>
            <w:t>06</w:t>
          </w:r>
          <w:r w:rsidRPr="00A324D3">
            <w:rPr>
              <w:rFonts w:ascii="Muli" w:hAnsi="Muli"/>
              <w:noProof/>
              <w:color w:val="00B4EE" w:themeColor="accent1"/>
              <w:sz w:val="20"/>
            </w:rPr>
            <w:fldChar w:fldCharType="end"/>
          </w:r>
        </w:p>
      </w:tc>
      <w:sdt>
        <w:sdtPr>
          <w:rPr>
            <w:rFonts w:ascii="Muli" w:hAnsi="Muli"/>
          </w:rPr>
          <w:alias w:val="Title"/>
          <w:tag w:val=""/>
          <w:id w:val="1586031531"/>
          <w:dataBinding w:prefixMappings="xmlns:ns0='http://purl.org/dc/elements/1.1/' xmlns:ns1='http://schemas.openxmlformats.org/package/2006/metadata/core-properties' " w:xpath="/ns1:coreProperties[1]/ns0:title[1]" w:storeItemID="{6C3C8BC8-F283-45AE-878A-BAB7291924A1}"/>
          <w:text/>
        </w:sdtPr>
        <w:sdtEndPr/>
        <w:sdtContent>
          <w:tc>
            <w:tcPr>
              <w:tcW w:w="4677" w:type="dxa"/>
            </w:tcPr>
            <w:p w14:paraId="030494B7" w14:textId="2EDF97B9" w:rsidR="00B27941" w:rsidRPr="00A324D3" w:rsidRDefault="007822A5" w:rsidP="00B8315B">
              <w:pPr>
                <w:pStyle w:val="Footer"/>
                <w:rPr>
                  <w:rFonts w:ascii="Muli" w:hAnsi="Muli"/>
                </w:rPr>
              </w:pPr>
              <w:r>
                <w:rPr>
                  <w:rFonts w:ascii="Muli" w:hAnsi="Muli"/>
                </w:rPr>
                <w:t>Procurement Policy 2026</w:t>
              </w:r>
            </w:p>
          </w:tc>
        </w:sdtContent>
      </w:sdt>
    </w:tr>
  </w:tbl>
  <w:p w14:paraId="1B32090C" w14:textId="77777777" w:rsidR="00B27941" w:rsidRDefault="00B27941" w:rsidP="00B831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ceholderTable"/>
      <w:tblpPr w:leftFromText="181" w:rightFromText="181" w:vertAnchor="page" w:tblpXSpec="right" w:tblpYSpec="bottom"/>
      <w:tblOverlap w:val="never"/>
      <w:tblW w:w="0" w:type="auto"/>
      <w:tblCellMar>
        <w:top w:w="28" w:type="dxa"/>
        <w:bottom w:w="170" w:type="dxa"/>
      </w:tblCellMar>
      <w:tblLook w:val="04A0" w:firstRow="1" w:lastRow="0" w:firstColumn="1" w:lastColumn="0" w:noHBand="0" w:noVBand="1"/>
    </w:tblPr>
    <w:tblGrid>
      <w:gridCol w:w="4677"/>
      <w:gridCol w:w="420"/>
    </w:tblGrid>
    <w:tr w:rsidR="00B27941" w:rsidRPr="00692752" w14:paraId="409DD5B3" w14:textId="77777777" w:rsidTr="007317F5">
      <w:trPr>
        <w:trHeight w:val="510"/>
        <w:tblHeader/>
      </w:trPr>
      <w:tc>
        <w:tcPr>
          <w:tcW w:w="4677" w:type="dxa"/>
        </w:tcPr>
        <w:p w14:paraId="1CC2632B" w14:textId="77777777" w:rsidR="00B27941" w:rsidRPr="00A324D3" w:rsidRDefault="00B27941" w:rsidP="007317F5">
          <w:pPr>
            <w:pStyle w:val="FooterTextRight"/>
            <w:rPr>
              <w:rFonts w:ascii="Muli" w:hAnsi="Muli"/>
            </w:rPr>
          </w:pPr>
          <w:r w:rsidRPr="00A324D3">
            <w:rPr>
              <w:rFonts w:ascii="Muli" w:hAnsi="Muli"/>
            </w:rPr>
            <w:t>City of Yarra</w:t>
          </w:r>
        </w:p>
      </w:tc>
      <w:tc>
        <w:tcPr>
          <w:tcW w:w="420" w:type="dxa"/>
        </w:tcPr>
        <w:p w14:paraId="686332B9" w14:textId="77777777" w:rsidR="00B27941" w:rsidRPr="00A324D3" w:rsidRDefault="00B27941" w:rsidP="007317F5">
          <w:pPr>
            <w:pStyle w:val="Footer"/>
            <w:spacing w:line="200" w:lineRule="exact"/>
            <w:jc w:val="right"/>
            <w:rPr>
              <w:rFonts w:ascii="Muli" w:hAnsi="Muli"/>
            </w:rPr>
          </w:pPr>
          <w:r w:rsidRPr="00A324D3">
            <w:rPr>
              <w:rFonts w:ascii="Muli" w:hAnsi="Muli"/>
              <w:color w:val="00B4EE" w:themeColor="accent1"/>
              <w:sz w:val="20"/>
            </w:rPr>
            <w:fldChar w:fldCharType="begin"/>
          </w:r>
          <w:r w:rsidRPr="00A324D3">
            <w:rPr>
              <w:rFonts w:ascii="Muli" w:hAnsi="Muli"/>
              <w:color w:val="00B4EE" w:themeColor="accent1"/>
              <w:sz w:val="20"/>
            </w:rPr>
            <w:instrText xml:space="preserve"> PAGE \# "00" </w:instrText>
          </w:r>
          <w:r w:rsidRPr="00A324D3">
            <w:rPr>
              <w:rFonts w:ascii="Muli" w:hAnsi="Muli"/>
              <w:color w:val="00B4EE" w:themeColor="accent1"/>
              <w:sz w:val="20"/>
            </w:rPr>
            <w:fldChar w:fldCharType="separate"/>
          </w:r>
          <w:r w:rsidRPr="00A324D3">
            <w:rPr>
              <w:rFonts w:ascii="Muli" w:hAnsi="Muli"/>
              <w:noProof/>
              <w:color w:val="00B4EE" w:themeColor="accent1"/>
              <w:sz w:val="20"/>
            </w:rPr>
            <w:t>05</w:t>
          </w:r>
          <w:r w:rsidRPr="00A324D3">
            <w:rPr>
              <w:rFonts w:ascii="Muli" w:hAnsi="Muli"/>
              <w:noProof/>
              <w:color w:val="00B4EE" w:themeColor="accent1"/>
              <w:sz w:val="20"/>
            </w:rPr>
            <w:fldChar w:fldCharType="end"/>
          </w:r>
        </w:p>
      </w:tc>
    </w:tr>
  </w:tbl>
  <w:p w14:paraId="021BFC7D" w14:textId="77777777" w:rsidR="00B27941" w:rsidRPr="007317F5" w:rsidRDefault="00B27941" w:rsidP="007317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9BC90" w14:textId="77777777" w:rsidR="007822A5" w:rsidRDefault="007822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28681" w14:textId="77777777" w:rsidR="00D85EE0" w:rsidRDefault="00D85EE0" w:rsidP="00CE604F">
      <w:r>
        <w:separator/>
      </w:r>
    </w:p>
    <w:p w14:paraId="375EB524" w14:textId="77777777" w:rsidR="00D85EE0" w:rsidRDefault="00D85EE0" w:rsidP="00CE604F"/>
    <w:p w14:paraId="4757FB59" w14:textId="77777777" w:rsidR="00D85EE0" w:rsidRDefault="00D85EE0" w:rsidP="00CE604F"/>
    <w:p w14:paraId="155253EF" w14:textId="77777777" w:rsidR="00D85EE0" w:rsidRDefault="00D85EE0" w:rsidP="00CE604F"/>
  </w:footnote>
  <w:footnote w:type="continuationSeparator" w:id="0">
    <w:p w14:paraId="2456B6D3" w14:textId="77777777" w:rsidR="00D85EE0" w:rsidRDefault="00D85EE0" w:rsidP="00CE604F">
      <w:r>
        <w:continuationSeparator/>
      </w:r>
    </w:p>
    <w:p w14:paraId="2DB0790C" w14:textId="77777777" w:rsidR="00D85EE0" w:rsidRDefault="00D85EE0" w:rsidP="00CE604F"/>
    <w:p w14:paraId="66208445" w14:textId="77777777" w:rsidR="00D85EE0" w:rsidRDefault="00D85EE0" w:rsidP="00CE604F"/>
    <w:p w14:paraId="087F2CC7" w14:textId="77777777" w:rsidR="00D85EE0" w:rsidRDefault="00D85EE0"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77FA6" w14:textId="0822FBDE" w:rsidR="00B27941" w:rsidRDefault="00D85EE0">
    <w:pPr>
      <w:pStyle w:val="Header"/>
    </w:pPr>
    <w:r>
      <w:rPr>
        <w:noProof/>
      </w:rPr>
      <w:pict w14:anchorId="7AD2E8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0796829" o:spid="_x0000_s1026" type="#_x0000_t136" style="position:absolute;margin-left:0;margin-top:0;width:485.35pt;height:194.1pt;rotation:315;z-index:-251658237;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2C103" w14:textId="78BEE8E9" w:rsidR="00B27941" w:rsidRDefault="00D85EE0">
    <w:pPr>
      <w:pStyle w:val="Header"/>
    </w:pPr>
    <w:r>
      <w:rPr>
        <w:noProof/>
      </w:rPr>
      <w:pict w14:anchorId="1F5E1E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0796830" o:spid="_x0000_s1027" type="#_x0000_t136" style="position:absolute;margin-left:0;margin-top:0;width:485.35pt;height:194.1pt;rotation:315;z-index:-25165823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B4F90" w14:textId="77777777" w:rsidR="007822A5" w:rsidRDefault="007822A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CE8A6" w14:textId="5C50FCBE" w:rsidR="009C66A4" w:rsidRPr="007822A5" w:rsidRDefault="009C66A4" w:rsidP="007822A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61109" w14:textId="666BA588" w:rsidR="009C66A4" w:rsidRDefault="009C66A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A5F8B" w14:textId="166C5B59" w:rsidR="00B27941" w:rsidRDefault="00D85EE0">
    <w:pPr>
      <w:pStyle w:val="Header"/>
    </w:pPr>
    <w:r>
      <w:rPr>
        <w:noProof/>
      </w:rPr>
      <w:pict w14:anchorId="6CA87A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0796831" o:spid="_x0000_s1028" type="#_x0000_t136" style="position:absolute;margin-left:0;margin-top:0;width:485.35pt;height:194.1pt;rotation:315;z-index:-251658235;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B27941">
      <w:rPr>
        <w:noProof/>
      </w:rPr>
      <w:drawing>
        <wp:anchor distT="0" distB="0" distL="114300" distR="114300" simplePos="0" relativeHeight="251658240" behindDoc="1" locked="0" layoutInCell="1" allowOverlap="1" wp14:anchorId="4A652C5A" wp14:editId="26634580">
          <wp:simplePos x="0" y="0"/>
          <wp:positionH relativeFrom="page">
            <wp:posOffset>190500</wp:posOffset>
          </wp:positionH>
          <wp:positionV relativeFrom="page">
            <wp:posOffset>180975</wp:posOffset>
          </wp:positionV>
          <wp:extent cx="7200000" cy="10332000"/>
          <wp:effectExtent l="0" t="0" r="1270" b="0"/>
          <wp:wrapNone/>
          <wp:docPr id="13" name="Picture 13" descr="Image: item1.x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01_photo.jpg"/>
                  <pic:cNvPicPr/>
                </pic:nvPicPr>
                <pic:blipFill>
                  <a:blip r:embed="rId1">
                    <a:extLst>
                      <a:ext uri="{28A0092B-C50C-407E-A947-70E740481C1C}">
                        <a14:useLocalDpi xmlns:a14="http://schemas.microsoft.com/office/drawing/2010/main" val="0"/>
                      </a:ext>
                    </a:extLst>
                  </a:blip>
                  <a:stretch>
                    <a:fillRect/>
                  </a:stretch>
                </pic:blipFill>
                <pic:spPr>
                  <a:xfrm>
                    <a:off x="0" y="0"/>
                    <a:ext cx="7200000" cy="10332000"/>
                  </a:xfrm>
                  <a:prstGeom prst="rect">
                    <a:avLst/>
                  </a:prstGeom>
                </pic:spPr>
              </pic:pic>
            </a:graphicData>
          </a:graphic>
          <wp14:sizeRelH relativeFrom="margin">
            <wp14:pctWidth>0</wp14:pctWidth>
          </wp14:sizeRelH>
          <wp14:sizeRelV relativeFrom="margin">
            <wp14:pctHeight>0</wp14:pctHeight>
          </wp14:sizeRelV>
        </wp:anchor>
      </w:drawing>
    </w:r>
    <w:r w:rsidR="00B27941">
      <w:rPr>
        <w:noProof/>
      </w:rPr>
      <w:drawing>
        <wp:anchor distT="0" distB="0" distL="114300" distR="114300" simplePos="0" relativeHeight="251658242" behindDoc="1" locked="1" layoutInCell="1" allowOverlap="1" wp14:anchorId="496DF9F2" wp14:editId="1B1A8678">
          <wp:simplePos x="0" y="0"/>
          <wp:positionH relativeFrom="page">
            <wp:posOffset>6120765</wp:posOffset>
          </wp:positionH>
          <wp:positionV relativeFrom="page">
            <wp:posOffset>3276600</wp:posOffset>
          </wp:positionV>
          <wp:extent cx="1260000" cy="1126800"/>
          <wp:effectExtent l="0" t="0" r="0" b="0"/>
          <wp:wrapNone/>
          <wp:docPr id="14" name="Picture 14" descr="Image: item2.x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1_logo.png"/>
                  <pic:cNvPicPr/>
                </pic:nvPicPr>
                <pic:blipFill>
                  <a:blip r:embed="rId2">
                    <a:extLst>
                      <a:ext uri="{28A0092B-C50C-407E-A947-70E740481C1C}">
                        <a14:useLocalDpi xmlns:a14="http://schemas.microsoft.com/office/drawing/2010/main" val="0"/>
                      </a:ext>
                    </a:extLst>
                  </a:blip>
                  <a:stretch>
                    <a:fillRect/>
                  </a:stretch>
                </pic:blipFill>
                <pic:spPr>
                  <a:xfrm>
                    <a:off x="0" y="0"/>
                    <a:ext cx="1260000" cy="1126800"/>
                  </a:xfrm>
                  <a:prstGeom prst="rect">
                    <a:avLst/>
                  </a:prstGeom>
                </pic:spPr>
              </pic:pic>
            </a:graphicData>
          </a:graphic>
          <wp14:sizeRelH relativeFrom="margin">
            <wp14:pctWidth>0</wp14:pctWidth>
          </wp14:sizeRelH>
          <wp14:sizeRelV relativeFrom="margin">
            <wp14:pctHeight>0</wp14:pctHeight>
          </wp14:sizeRelV>
        </wp:anchor>
      </w:drawing>
    </w:r>
    <w:r w:rsidR="00B27941">
      <w:rPr>
        <w:noProof/>
      </w:rPr>
      <mc:AlternateContent>
        <mc:Choice Requires="wps">
          <w:drawing>
            <wp:anchor distT="0" distB="0" distL="114300" distR="114300" simplePos="0" relativeHeight="251658241" behindDoc="1" locked="1" layoutInCell="1" allowOverlap="1" wp14:anchorId="63A55CFE" wp14:editId="59ED6D57">
              <wp:simplePos x="0" y="0"/>
              <wp:positionH relativeFrom="page">
                <wp:posOffset>4068445</wp:posOffset>
              </wp:positionH>
              <wp:positionV relativeFrom="page">
                <wp:posOffset>180340</wp:posOffset>
              </wp:positionV>
              <wp:extent cx="3312000" cy="3096000"/>
              <wp:effectExtent l="0" t="0" r="3175" b="9525"/>
              <wp:wrapNone/>
              <wp:docPr id="12" name="Rectangle 12" descr="Image"/>
              <wp:cNvGraphicFramePr/>
              <a:graphic xmlns:a="http://schemas.openxmlformats.org/drawingml/2006/main">
                <a:graphicData uri="http://schemas.microsoft.com/office/word/2010/wordprocessingShape">
                  <wps:wsp>
                    <wps:cNvSpPr/>
                    <wps:spPr>
                      <a:xfrm>
                        <a:off x="0" y="0"/>
                        <a:ext cx="3312000" cy="30960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w16cei="http://schemas.microsoft.com/office/word/2026/wordml/cei">
          <w:pict w14:anchorId="6D3ABC61">
            <v:rect id="Rectangle 12" style="position:absolute;margin-left:320.35pt;margin-top:14.2pt;width:260.8pt;height:243.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00b4ee [3204]" stroked="f" strokeweight="2pt" w14:anchorId="25619E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">
              <w10:wrap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4D6259C"/>
    <w:multiLevelType w:val="hybridMultilevel"/>
    <w:tmpl w:val="FEFEF5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083B6E46"/>
    <w:multiLevelType w:val="hybridMultilevel"/>
    <w:tmpl w:val="413640AE"/>
    <w:lvl w:ilvl="0" w:tplc="0C090001">
      <w:start w:val="1"/>
      <w:numFmt w:val="bullet"/>
      <w:lvlText w:val=""/>
      <w:lvlJc w:val="left"/>
      <w:pPr>
        <w:ind w:left="1069" w:hanging="360"/>
      </w:pPr>
      <w:rPr>
        <w:rFonts w:ascii="Symbol" w:hAnsi="Symbol"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5" w15:restartNumberingAfterBreak="0">
    <w:nsid w:val="0A5D51CC"/>
    <w:multiLevelType w:val="multilevel"/>
    <w:tmpl w:val="41269988"/>
    <w:styleLink w:val="ListBullets"/>
    <w:lvl w:ilvl="0">
      <w:start w:val="1"/>
      <w:numFmt w:val="bullet"/>
      <w:lvlText w:val=""/>
      <w:lvlJc w:val="left"/>
      <w:pPr>
        <w:ind w:left="357" w:hanging="357"/>
      </w:pPr>
      <w:rPr>
        <w:rFonts w:ascii="Symbol" w:hAnsi="Symbol" w:hint="default"/>
      </w:rPr>
    </w:lvl>
    <w:lvl w:ilvl="1">
      <w:start w:val="1"/>
      <w:numFmt w:val="bullet"/>
      <w:lvlText w:val="o"/>
      <w:lvlJc w:val="left"/>
      <w:pPr>
        <w:tabs>
          <w:tab w:val="num" w:pos="717"/>
        </w:tabs>
        <w:ind w:left="714" w:hanging="357"/>
      </w:pPr>
      <w:rPr>
        <w:rFonts w:ascii="Courier New" w:hAnsi="Courier New" w:hint="default"/>
      </w:rPr>
    </w:lvl>
    <w:lvl w:ilvl="2">
      <w:start w:val="1"/>
      <w:numFmt w:val="bullet"/>
      <w:lvlText w:val=""/>
      <w:lvlJc w:val="left"/>
      <w:pPr>
        <w:tabs>
          <w:tab w:val="num" w:pos="1074"/>
        </w:tabs>
        <w:ind w:left="1071" w:hanging="357"/>
      </w:pPr>
      <w:rPr>
        <w:rFonts w:ascii="Symbol" w:hAnsi="Symbol" w:hint="default"/>
      </w:rPr>
    </w:lvl>
    <w:lvl w:ilvl="3">
      <w:start w:val="1"/>
      <w:numFmt w:val="bullet"/>
      <w:lvlText w:val="o"/>
      <w:lvlJc w:val="left"/>
      <w:pPr>
        <w:tabs>
          <w:tab w:val="num" w:pos="1431"/>
        </w:tabs>
        <w:ind w:left="1428" w:hanging="357"/>
      </w:pPr>
      <w:rPr>
        <w:rFonts w:ascii="Courier New" w:hAnsi="Courier New" w:hint="default"/>
      </w:rPr>
    </w:lvl>
    <w:lvl w:ilvl="4">
      <w:start w:val="1"/>
      <w:numFmt w:val="bullet"/>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6" w15:restartNumberingAfterBreak="0">
    <w:nsid w:val="0A6316D3"/>
    <w:multiLevelType w:val="hybridMultilevel"/>
    <w:tmpl w:val="89C6D12A"/>
    <w:lvl w:ilvl="0" w:tplc="B98CD2F8">
      <w:numFmt w:val="bullet"/>
      <w:lvlText w:val="•"/>
      <w:lvlJc w:val="left"/>
      <w:pPr>
        <w:ind w:left="1506" w:hanging="360"/>
      </w:pPr>
      <w:rPr>
        <w:rFonts w:ascii="Arial" w:eastAsiaTheme="minorHAnsi" w:hAnsi="Arial" w:cs="Aria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7" w15:restartNumberingAfterBreak="0">
    <w:nsid w:val="0CAD7042"/>
    <w:multiLevelType w:val="hybridMultilevel"/>
    <w:tmpl w:val="D9B8004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F8C0EE2"/>
    <w:multiLevelType w:val="hybridMultilevel"/>
    <w:tmpl w:val="3F201A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1093D5F"/>
    <w:multiLevelType w:val="multilevel"/>
    <w:tmpl w:val="46746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4E372A"/>
    <w:multiLevelType w:val="hybridMultilevel"/>
    <w:tmpl w:val="00A62C0C"/>
    <w:lvl w:ilvl="0" w:tplc="49442CE8">
      <w:numFmt w:val="bullet"/>
      <w:lvlText w:val="•"/>
      <w:lvlJc w:val="left"/>
      <w:pPr>
        <w:ind w:left="1429" w:hanging="360"/>
      </w:pPr>
      <w:rPr>
        <w:rFonts w:ascii="Arial" w:eastAsiaTheme="minorHAnsi" w:hAnsi="Arial" w:cs="Arial"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11" w15:restartNumberingAfterBreak="0">
    <w:nsid w:val="16D4048A"/>
    <w:multiLevelType w:val="hybridMultilevel"/>
    <w:tmpl w:val="98961704"/>
    <w:lvl w:ilvl="0" w:tplc="49442CE8">
      <w:numFmt w:val="bullet"/>
      <w:lvlText w:val="•"/>
      <w:lvlJc w:val="left"/>
      <w:pPr>
        <w:ind w:left="1506" w:hanging="360"/>
      </w:pPr>
      <w:rPr>
        <w:rFonts w:ascii="Arial" w:eastAsiaTheme="minorHAnsi" w:hAnsi="Arial" w:cs="Aria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2" w15:restartNumberingAfterBreak="0">
    <w:nsid w:val="16F86D7F"/>
    <w:multiLevelType w:val="multilevel"/>
    <w:tmpl w:val="81806906"/>
    <w:name w:val="List Numbering"/>
    <w:lvl w:ilvl="0">
      <w:start w:val="1"/>
      <w:numFmt w:val="decimal"/>
      <w:pStyle w:val="ListNumber"/>
      <w:lvlText w:val="%1."/>
      <w:lvlJc w:val="left"/>
      <w:pPr>
        <w:ind w:left="397" w:hanging="397"/>
      </w:pPr>
      <w:rPr>
        <w:rFonts w:hint="default"/>
      </w:rPr>
    </w:lvl>
    <w:lvl w:ilvl="1">
      <w:start w:val="1"/>
      <w:numFmt w:val="lowerLetter"/>
      <w:pStyle w:val="ListNumber2"/>
      <w:lvlText w:val="%2."/>
      <w:lvlJc w:val="left"/>
      <w:pPr>
        <w:ind w:left="794" w:hanging="397"/>
      </w:pPr>
      <w:rPr>
        <w:rFonts w:hint="default"/>
      </w:rPr>
    </w:lvl>
    <w:lvl w:ilvl="2">
      <w:start w:val="1"/>
      <w:numFmt w:val="lowerRoman"/>
      <w:pStyle w:val="ListNumber3"/>
      <w:lvlText w:val="%3."/>
      <w:lvlJc w:val="left"/>
      <w:pPr>
        <w:ind w:left="1191" w:hanging="397"/>
      </w:pPr>
      <w:rPr>
        <w:rFonts w:hint="default"/>
      </w:rPr>
    </w:lvl>
    <w:lvl w:ilvl="3">
      <w:start w:val="1"/>
      <w:numFmt w:val="none"/>
      <w:lvlText w:val=""/>
      <w:lvlJc w:val="left"/>
      <w:pPr>
        <w:tabs>
          <w:tab w:val="num" w:pos="1531"/>
        </w:tabs>
        <w:ind w:left="1588" w:hanging="397"/>
      </w:pPr>
      <w:rPr>
        <w:rFonts w:hint="default"/>
      </w:rPr>
    </w:lvl>
    <w:lvl w:ilvl="4">
      <w:start w:val="1"/>
      <w:numFmt w:val="none"/>
      <w:lvlText w:val=""/>
      <w:lvlJc w:val="left"/>
      <w:pPr>
        <w:tabs>
          <w:tab w:val="num" w:pos="1928"/>
        </w:tabs>
        <w:ind w:left="1985" w:hanging="397"/>
      </w:pPr>
      <w:rPr>
        <w:rFonts w:hint="default"/>
      </w:rPr>
    </w:lvl>
    <w:lvl w:ilvl="5">
      <w:start w:val="1"/>
      <w:numFmt w:val="none"/>
      <w:lvlText w:val=""/>
      <w:lvlJc w:val="left"/>
      <w:pPr>
        <w:tabs>
          <w:tab w:val="num" w:pos="2325"/>
        </w:tabs>
        <w:ind w:left="2382" w:hanging="397"/>
      </w:pPr>
      <w:rPr>
        <w:rFonts w:hint="default"/>
      </w:rPr>
    </w:lvl>
    <w:lvl w:ilvl="6">
      <w:start w:val="1"/>
      <w:numFmt w:val="none"/>
      <w:lvlText w:val=""/>
      <w:lvlJc w:val="left"/>
      <w:pPr>
        <w:tabs>
          <w:tab w:val="num" w:pos="2722"/>
        </w:tabs>
        <w:ind w:left="2779" w:hanging="397"/>
      </w:pPr>
      <w:rPr>
        <w:rFonts w:hint="default"/>
      </w:rPr>
    </w:lvl>
    <w:lvl w:ilvl="7">
      <w:start w:val="1"/>
      <w:numFmt w:val="none"/>
      <w:lvlText w:val=""/>
      <w:lvlJc w:val="left"/>
      <w:pPr>
        <w:tabs>
          <w:tab w:val="num" w:pos="3119"/>
        </w:tabs>
        <w:ind w:left="3176" w:hanging="397"/>
      </w:pPr>
      <w:rPr>
        <w:rFonts w:hint="default"/>
      </w:rPr>
    </w:lvl>
    <w:lvl w:ilvl="8">
      <w:start w:val="1"/>
      <w:numFmt w:val="none"/>
      <w:lvlText w:val=""/>
      <w:lvlJc w:val="left"/>
      <w:pPr>
        <w:tabs>
          <w:tab w:val="num" w:pos="3516"/>
        </w:tabs>
        <w:ind w:left="3573" w:hanging="397"/>
      </w:pPr>
      <w:rPr>
        <w:rFonts w:hint="default"/>
      </w:rPr>
    </w:lvl>
  </w:abstractNum>
  <w:abstractNum w:abstractNumId="13" w15:restartNumberingAfterBreak="0">
    <w:nsid w:val="170B30C9"/>
    <w:multiLevelType w:val="hybridMultilevel"/>
    <w:tmpl w:val="823475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AC10C73"/>
    <w:multiLevelType w:val="multilevel"/>
    <w:tmpl w:val="89168B44"/>
    <w:lvl w:ilvl="0">
      <w:start w:val="1"/>
      <w:numFmt w:val="decimal"/>
      <w:lvlText w:val="%1."/>
      <w:lvlJc w:val="left"/>
      <w:pPr>
        <w:ind w:left="720" w:hanging="360"/>
      </w:pPr>
      <w:rPr>
        <w:rFonts w:hint="default"/>
        <w:b/>
        <w:bCs w:val="0"/>
        <w:sz w:val="36"/>
        <w:szCs w:val="36"/>
      </w:rPr>
    </w:lvl>
    <w:lvl w:ilvl="1">
      <w:start w:val="1"/>
      <w:numFmt w:val="decimal"/>
      <w:isLgl/>
      <w:lvlText w:val="%1.%2"/>
      <w:lvlJc w:val="left"/>
      <w:pPr>
        <w:ind w:left="1145" w:hanging="72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5" w15:restartNumberingAfterBreak="0">
    <w:nsid w:val="1CBC7CF5"/>
    <w:multiLevelType w:val="multilevel"/>
    <w:tmpl w:val="53484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AE60FC"/>
    <w:multiLevelType w:val="hybridMultilevel"/>
    <w:tmpl w:val="DEB8DFF8"/>
    <w:name w:val="MyBullets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12F2E43"/>
    <w:multiLevelType w:val="multilevel"/>
    <w:tmpl w:val="6046F38E"/>
    <w:lvl w:ilvl="0">
      <w:start w:val="1"/>
      <w:numFmt w:val="decimal"/>
      <w:lvlText w:val="%1."/>
      <w:lvlJc w:val="left"/>
      <w:pPr>
        <w:ind w:left="720" w:hanging="360"/>
      </w:pPr>
      <w:rPr>
        <w:rFonts w:hint="default"/>
        <w:b/>
        <w:bCs w:val="0"/>
      </w:rPr>
    </w:lvl>
    <w:lvl w:ilvl="1">
      <w:start w:val="1"/>
      <w:numFmt w:val="decimal"/>
      <w:isLgl/>
      <w:lvlText w:val="%1.%2"/>
      <w:lvlJc w:val="left"/>
      <w:pPr>
        <w:ind w:left="1080" w:hanging="72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8" w15:restartNumberingAfterBreak="0">
    <w:nsid w:val="21BB3ED4"/>
    <w:multiLevelType w:val="hybridMultilevel"/>
    <w:tmpl w:val="31A84F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37F7259"/>
    <w:multiLevelType w:val="multilevel"/>
    <w:tmpl w:val="6046F38E"/>
    <w:lvl w:ilvl="0">
      <w:start w:val="1"/>
      <w:numFmt w:val="decimal"/>
      <w:lvlText w:val="%1."/>
      <w:lvlJc w:val="left"/>
      <w:pPr>
        <w:ind w:left="720" w:hanging="360"/>
      </w:pPr>
      <w:rPr>
        <w:rFonts w:hint="default"/>
        <w:b/>
        <w:bCs w:val="0"/>
      </w:rPr>
    </w:lvl>
    <w:lvl w:ilvl="1">
      <w:start w:val="1"/>
      <w:numFmt w:val="decimal"/>
      <w:isLgl/>
      <w:lvlText w:val="%1.%2"/>
      <w:lvlJc w:val="left"/>
      <w:pPr>
        <w:ind w:left="1080" w:hanging="72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0" w15:restartNumberingAfterBreak="0">
    <w:nsid w:val="24423ECB"/>
    <w:multiLevelType w:val="hybridMultilevel"/>
    <w:tmpl w:val="F812578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248A7249"/>
    <w:multiLevelType w:val="hybridMultilevel"/>
    <w:tmpl w:val="4A3E8C96"/>
    <w:lvl w:ilvl="0" w:tplc="0C090001">
      <w:start w:val="1"/>
      <w:numFmt w:val="bullet"/>
      <w:lvlText w:val=""/>
      <w:lvlJc w:val="left"/>
      <w:pPr>
        <w:ind w:left="1145" w:hanging="360"/>
      </w:pPr>
      <w:rPr>
        <w:rFonts w:ascii="Symbol" w:hAnsi="Symbol" w:hint="default"/>
      </w:rPr>
    </w:lvl>
    <w:lvl w:ilvl="1" w:tplc="0C090003">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22" w15:restartNumberingAfterBreak="0">
    <w:nsid w:val="277C7448"/>
    <w:multiLevelType w:val="hybridMultilevel"/>
    <w:tmpl w:val="67AE070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15:restartNumberingAfterBreak="0">
    <w:nsid w:val="27B74F05"/>
    <w:multiLevelType w:val="hybridMultilevel"/>
    <w:tmpl w:val="7E40F35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28A161DB"/>
    <w:multiLevelType w:val="hybridMultilevel"/>
    <w:tmpl w:val="945858D8"/>
    <w:lvl w:ilvl="0" w:tplc="0C090001">
      <w:start w:val="1"/>
      <w:numFmt w:val="bullet"/>
      <w:lvlText w:val=""/>
      <w:lvlJc w:val="left"/>
      <w:pPr>
        <w:ind w:left="709" w:hanging="360"/>
      </w:pPr>
      <w:rPr>
        <w:rFonts w:ascii="Symbol" w:hAnsi="Symbol" w:hint="default"/>
      </w:rPr>
    </w:lvl>
    <w:lvl w:ilvl="1" w:tplc="0C090003" w:tentative="1">
      <w:start w:val="1"/>
      <w:numFmt w:val="bullet"/>
      <w:lvlText w:val="o"/>
      <w:lvlJc w:val="left"/>
      <w:pPr>
        <w:ind w:left="1429" w:hanging="360"/>
      </w:pPr>
      <w:rPr>
        <w:rFonts w:ascii="Courier New" w:hAnsi="Courier New" w:cs="Courier New" w:hint="default"/>
      </w:rPr>
    </w:lvl>
    <w:lvl w:ilvl="2" w:tplc="0C090005" w:tentative="1">
      <w:start w:val="1"/>
      <w:numFmt w:val="bullet"/>
      <w:lvlText w:val=""/>
      <w:lvlJc w:val="left"/>
      <w:pPr>
        <w:ind w:left="2149" w:hanging="360"/>
      </w:pPr>
      <w:rPr>
        <w:rFonts w:ascii="Wingdings" w:hAnsi="Wingdings" w:hint="default"/>
      </w:rPr>
    </w:lvl>
    <w:lvl w:ilvl="3" w:tplc="0C090001" w:tentative="1">
      <w:start w:val="1"/>
      <w:numFmt w:val="bullet"/>
      <w:lvlText w:val=""/>
      <w:lvlJc w:val="left"/>
      <w:pPr>
        <w:ind w:left="2869" w:hanging="360"/>
      </w:pPr>
      <w:rPr>
        <w:rFonts w:ascii="Symbol" w:hAnsi="Symbol" w:hint="default"/>
      </w:rPr>
    </w:lvl>
    <w:lvl w:ilvl="4" w:tplc="0C090003" w:tentative="1">
      <w:start w:val="1"/>
      <w:numFmt w:val="bullet"/>
      <w:lvlText w:val="o"/>
      <w:lvlJc w:val="left"/>
      <w:pPr>
        <w:ind w:left="3589" w:hanging="360"/>
      </w:pPr>
      <w:rPr>
        <w:rFonts w:ascii="Courier New" w:hAnsi="Courier New" w:cs="Courier New" w:hint="default"/>
      </w:rPr>
    </w:lvl>
    <w:lvl w:ilvl="5" w:tplc="0C090005" w:tentative="1">
      <w:start w:val="1"/>
      <w:numFmt w:val="bullet"/>
      <w:lvlText w:val=""/>
      <w:lvlJc w:val="left"/>
      <w:pPr>
        <w:ind w:left="4309" w:hanging="360"/>
      </w:pPr>
      <w:rPr>
        <w:rFonts w:ascii="Wingdings" w:hAnsi="Wingdings" w:hint="default"/>
      </w:rPr>
    </w:lvl>
    <w:lvl w:ilvl="6" w:tplc="0C090001" w:tentative="1">
      <w:start w:val="1"/>
      <w:numFmt w:val="bullet"/>
      <w:lvlText w:val=""/>
      <w:lvlJc w:val="left"/>
      <w:pPr>
        <w:ind w:left="5029" w:hanging="360"/>
      </w:pPr>
      <w:rPr>
        <w:rFonts w:ascii="Symbol" w:hAnsi="Symbol" w:hint="default"/>
      </w:rPr>
    </w:lvl>
    <w:lvl w:ilvl="7" w:tplc="0C090003" w:tentative="1">
      <w:start w:val="1"/>
      <w:numFmt w:val="bullet"/>
      <w:lvlText w:val="o"/>
      <w:lvlJc w:val="left"/>
      <w:pPr>
        <w:ind w:left="5749" w:hanging="360"/>
      </w:pPr>
      <w:rPr>
        <w:rFonts w:ascii="Courier New" w:hAnsi="Courier New" w:cs="Courier New" w:hint="default"/>
      </w:rPr>
    </w:lvl>
    <w:lvl w:ilvl="8" w:tplc="0C090005" w:tentative="1">
      <w:start w:val="1"/>
      <w:numFmt w:val="bullet"/>
      <w:lvlText w:val=""/>
      <w:lvlJc w:val="left"/>
      <w:pPr>
        <w:ind w:left="6469" w:hanging="360"/>
      </w:pPr>
      <w:rPr>
        <w:rFonts w:ascii="Wingdings" w:hAnsi="Wingdings" w:hint="default"/>
      </w:rPr>
    </w:lvl>
  </w:abstractNum>
  <w:abstractNum w:abstractNumId="25" w15:restartNumberingAfterBreak="0">
    <w:nsid w:val="2B6168E4"/>
    <w:multiLevelType w:val="multilevel"/>
    <w:tmpl w:val="D0B8E1FE"/>
    <w:lvl w:ilvl="0">
      <w:start w:val="1"/>
      <w:numFmt w:val="decimal"/>
      <w:pStyle w:val="TableNumbering"/>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6" w15:restartNumberingAfterBreak="0">
    <w:nsid w:val="2B785251"/>
    <w:multiLevelType w:val="hybridMultilevel"/>
    <w:tmpl w:val="7A06C0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2FFA3B52"/>
    <w:multiLevelType w:val="hybridMultilevel"/>
    <w:tmpl w:val="031C9CE2"/>
    <w:lvl w:ilvl="0" w:tplc="49442CE8">
      <w:numFmt w:val="bullet"/>
      <w:lvlText w:val="•"/>
      <w:lvlJc w:val="left"/>
      <w:pPr>
        <w:ind w:left="1429" w:hanging="360"/>
      </w:pPr>
      <w:rPr>
        <w:rFonts w:ascii="Arial" w:eastAsiaTheme="minorHAnsi" w:hAnsi="Arial" w:cs="Arial"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30" w15:restartNumberingAfterBreak="0">
    <w:nsid w:val="2FFB6613"/>
    <w:multiLevelType w:val="hybridMultilevel"/>
    <w:tmpl w:val="3F6C7698"/>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31" w15:restartNumberingAfterBreak="0">
    <w:nsid w:val="30D05B42"/>
    <w:multiLevelType w:val="hybridMultilevel"/>
    <w:tmpl w:val="F8EAE18A"/>
    <w:lvl w:ilvl="0" w:tplc="0C09000F">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2" w15:restartNumberingAfterBreak="0">
    <w:nsid w:val="31A53309"/>
    <w:multiLevelType w:val="hybridMultilevel"/>
    <w:tmpl w:val="44AE3DBC"/>
    <w:lvl w:ilvl="0" w:tplc="A40E1CC8">
      <w:start w:val="1"/>
      <w:numFmt w:val="bullet"/>
      <w:lvlText w:val=""/>
      <w:lvlJc w:val="left"/>
      <w:pPr>
        <w:ind w:left="1080" w:hanging="360"/>
      </w:pPr>
      <w:rPr>
        <w:rFonts w:ascii="Symbol" w:hAnsi="Symbol"/>
      </w:rPr>
    </w:lvl>
    <w:lvl w:ilvl="1" w:tplc="A3B6FAE2">
      <w:start w:val="1"/>
      <w:numFmt w:val="bullet"/>
      <w:lvlText w:val=""/>
      <w:lvlJc w:val="left"/>
      <w:pPr>
        <w:ind w:left="1080" w:hanging="360"/>
      </w:pPr>
      <w:rPr>
        <w:rFonts w:ascii="Symbol" w:hAnsi="Symbol"/>
      </w:rPr>
    </w:lvl>
    <w:lvl w:ilvl="2" w:tplc="48820714">
      <w:start w:val="1"/>
      <w:numFmt w:val="bullet"/>
      <w:lvlText w:val=""/>
      <w:lvlJc w:val="left"/>
      <w:pPr>
        <w:ind w:left="1080" w:hanging="360"/>
      </w:pPr>
      <w:rPr>
        <w:rFonts w:ascii="Symbol" w:hAnsi="Symbol"/>
      </w:rPr>
    </w:lvl>
    <w:lvl w:ilvl="3" w:tplc="FAA2B852">
      <w:start w:val="1"/>
      <w:numFmt w:val="bullet"/>
      <w:lvlText w:val=""/>
      <w:lvlJc w:val="left"/>
      <w:pPr>
        <w:ind w:left="1080" w:hanging="360"/>
      </w:pPr>
      <w:rPr>
        <w:rFonts w:ascii="Symbol" w:hAnsi="Symbol"/>
      </w:rPr>
    </w:lvl>
    <w:lvl w:ilvl="4" w:tplc="9C829C48">
      <w:start w:val="1"/>
      <w:numFmt w:val="bullet"/>
      <w:lvlText w:val=""/>
      <w:lvlJc w:val="left"/>
      <w:pPr>
        <w:ind w:left="1080" w:hanging="360"/>
      </w:pPr>
      <w:rPr>
        <w:rFonts w:ascii="Symbol" w:hAnsi="Symbol"/>
      </w:rPr>
    </w:lvl>
    <w:lvl w:ilvl="5" w:tplc="219EF5C8">
      <w:start w:val="1"/>
      <w:numFmt w:val="bullet"/>
      <w:lvlText w:val=""/>
      <w:lvlJc w:val="left"/>
      <w:pPr>
        <w:ind w:left="1080" w:hanging="360"/>
      </w:pPr>
      <w:rPr>
        <w:rFonts w:ascii="Symbol" w:hAnsi="Symbol"/>
      </w:rPr>
    </w:lvl>
    <w:lvl w:ilvl="6" w:tplc="B4A81E5A">
      <w:start w:val="1"/>
      <w:numFmt w:val="bullet"/>
      <w:lvlText w:val=""/>
      <w:lvlJc w:val="left"/>
      <w:pPr>
        <w:ind w:left="1080" w:hanging="360"/>
      </w:pPr>
      <w:rPr>
        <w:rFonts w:ascii="Symbol" w:hAnsi="Symbol"/>
      </w:rPr>
    </w:lvl>
    <w:lvl w:ilvl="7" w:tplc="E51AC9F0">
      <w:start w:val="1"/>
      <w:numFmt w:val="bullet"/>
      <w:lvlText w:val=""/>
      <w:lvlJc w:val="left"/>
      <w:pPr>
        <w:ind w:left="1080" w:hanging="360"/>
      </w:pPr>
      <w:rPr>
        <w:rFonts w:ascii="Symbol" w:hAnsi="Symbol"/>
      </w:rPr>
    </w:lvl>
    <w:lvl w:ilvl="8" w:tplc="9B720F56">
      <w:start w:val="1"/>
      <w:numFmt w:val="bullet"/>
      <w:lvlText w:val=""/>
      <w:lvlJc w:val="left"/>
      <w:pPr>
        <w:ind w:left="1080" w:hanging="360"/>
      </w:pPr>
      <w:rPr>
        <w:rFonts w:ascii="Symbol" w:hAnsi="Symbol"/>
      </w:rPr>
    </w:lvl>
  </w:abstractNum>
  <w:abstractNum w:abstractNumId="33" w15:restartNumberingAfterBreak="0">
    <w:nsid w:val="322B5F7D"/>
    <w:multiLevelType w:val="hybridMultilevel"/>
    <w:tmpl w:val="248C8694"/>
    <w:lvl w:ilvl="0" w:tplc="49442CE8">
      <w:numFmt w:val="bullet"/>
      <w:lvlText w:val="•"/>
      <w:lvlJc w:val="left"/>
      <w:pPr>
        <w:ind w:left="1080" w:hanging="360"/>
      </w:pPr>
      <w:rPr>
        <w:rFonts w:ascii="Arial" w:eastAsiaTheme="minorHAnsi" w:hAnsi="Arial" w:cs="Aria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338A7AD7"/>
    <w:multiLevelType w:val="hybridMultilevel"/>
    <w:tmpl w:val="B7EA11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33A324E9"/>
    <w:multiLevelType w:val="multilevel"/>
    <w:tmpl w:val="067C1FF2"/>
    <w:lvl w:ilvl="0">
      <w:start w:val="1"/>
      <w:numFmt w:val="decimal"/>
      <w:pStyle w:val="ppnum1"/>
      <w:lvlText w:val="%1."/>
      <w:lvlJc w:val="left"/>
      <w:pPr>
        <w:ind w:left="1069" w:hanging="360"/>
      </w:pPr>
    </w:lvl>
    <w:lvl w:ilvl="1">
      <w:start w:val="1"/>
      <w:numFmt w:val="decimal"/>
      <w:pStyle w:val="ppnum2"/>
      <w:lvlText w:val="%1.%2."/>
      <w:lvlJc w:val="left"/>
      <w:pPr>
        <w:ind w:left="1501" w:hanging="432"/>
      </w:p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36" w15:restartNumberingAfterBreak="0">
    <w:nsid w:val="374B7442"/>
    <w:multiLevelType w:val="hybridMultilevel"/>
    <w:tmpl w:val="A5263ABA"/>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37" w15:restartNumberingAfterBreak="0">
    <w:nsid w:val="386B2BDC"/>
    <w:multiLevelType w:val="multilevel"/>
    <w:tmpl w:val="730AE0EA"/>
    <w:name w:val="Bullets"/>
    <w:lvl w:ilvl="0">
      <w:start w:val="1"/>
      <w:numFmt w:val="bullet"/>
      <w:lvlText w:val=""/>
      <w:lvlJc w:val="left"/>
      <w:pPr>
        <w:tabs>
          <w:tab w:val="num" w:pos="284"/>
        </w:tabs>
        <w:ind w:left="284" w:hanging="284"/>
      </w:pPr>
      <w:rPr>
        <w:rFonts w:ascii="Wingdings" w:hAnsi="Wingdings" w:hint="default"/>
        <w:color w:val="00B4EE" w:themeColor="accent1"/>
        <w:position w:val="2"/>
        <w:sz w:val="20"/>
      </w:rPr>
    </w:lvl>
    <w:lvl w:ilvl="1">
      <w:start w:val="1"/>
      <w:numFmt w:val="bullet"/>
      <w:lvlText w:val="–"/>
      <w:lvlJc w:val="left"/>
      <w:pPr>
        <w:tabs>
          <w:tab w:val="num" w:pos="567"/>
        </w:tabs>
        <w:ind w:left="567" w:hanging="283"/>
      </w:pPr>
      <w:rPr>
        <w:rFonts w:ascii="Arial" w:hAnsi="Arial" w:hint="default"/>
        <w:color w:val="00B4EE" w:themeColor="accent1"/>
      </w:rPr>
    </w:lvl>
    <w:lvl w:ilvl="2">
      <w:start w:val="1"/>
      <w:numFmt w:val="bullet"/>
      <w:lvlText w:val="&gt;"/>
      <w:lvlJc w:val="left"/>
      <w:pPr>
        <w:tabs>
          <w:tab w:val="num" w:pos="851"/>
        </w:tabs>
        <w:ind w:left="851" w:hanging="284"/>
      </w:pPr>
      <w:rPr>
        <w:rFonts w:ascii="Arial" w:hAnsi="Arial" w:hint="default"/>
        <w:color w:val="00B4EE" w:themeColor="accent1"/>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8" w15:restartNumberingAfterBreak="0">
    <w:nsid w:val="3A5217EE"/>
    <w:multiLevelType w:val="hybridMultilevel"/>
    <w:tmpl w:val="579C841E"/>
    <w:lvl w:ilvl="0" w:tplc="0C090001">
      <w:start w:val="1"/>
      <w:numFmt w:val="bullet"/>
      <w:lvlText w:val=""/>
      <w:lvlJc w:val="left"/>
      <w:pPr>
        <w:ind w:left="1069" w:hanging="360"/>
      </w:pPr>
      <w:rPr>
        <w:rFonts w:ascii="Symbol" w:hAnsi="Symbol"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39" w15:restartNumberingAfterBreak="0">
    <w:nsid w:val="3A580F76"/>
    <w:multiLevelType w:val="hybridMultilevel"/>
    <w:tmpl w:val="AB7887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3A7C57B7"/>
    <w:multiLevelType w:val="hybridMultilevel"/>
    <w:tmpl w:val="8F9E3882"/>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41" w15:restartNumberingAfterBreak="0">
    <w:nsid w:val="3ACF47EB"/>
    <w:multiLevelType w:val="multilevel"/>
    <w:tmpl w:val="89168B44"/>
    <w:lvl w:ilvl="0">
      <w:start w:val="1"/>
      <w:numFmt w:val="decimal"/>
      <w:lvlText w:val="%1."/>
      <w:lvlJc w:val="left"/>
      <w:pPr>
        <w:ind w:left="720" w:hanging="360"/>
      </w:pPr>
      <w:rPr>
        <w:rFonts w:hint="default"/>
        <w:b/>
        <w:bCs w:val="0"/>
        <w:sz w:val="36"/>
        <w:szCs w:val="36"/>
      </w:rPr>
    </w:lvl>
    <w:lvl w:ilvl="1">
      <w:start w:val="1"/>
      <w:numFmt w:val="decimal"/>
      <w:isLgl/>
      <w:lvlText w:val="%1.%2"/>
      <w:lvlJc w:val="left"/>
      <w:pPr>
        <w:ind w:left="1145" w:hanging="72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42" w15:restartNumberingAfterBreak="0">
    <w:nsid w:val="3B655031"/>
    <w:multiLevelType w:val="hybridMultilevel"/>
    <w:tmpl w:val="D4149562"/>
    <w:lvl w:ilvl="0" w:tplc="A80099C0">
      <w:start w:val="1"/>
      <w:numFmt w:val="decimal"/>
      <w:lvlText w:val="%1."/>
      <w:lvlJc w:val="left"/>
      <w:pPr>
        <w:ind w:left="795" w:hanging="370"/>
      </w:pPr>
      <w:rPr>
        <w:rFonts w:hint="default"/>
      </w:rPr>
    </w:lvl>
    <w:lvl w:ilvl="1" w:tplc="0C090019" w:tentative="1">
      <w:start w:val="1"/>
      <w:numFmt w:val="lowerLetter"/>
      <w:lvlText w:val="%2."/>
      <w:lvlJc w:val="left"/>
      <w:pPr>
        <w:ind w:left="1505" w:hanging="360"/>
      </w:pPr>
    </w:lvl>
    <w:lvl w:ilvl="2" w:tplc="0C09001B" w:tentative="1">
      <w:start w:val="1"/>
      <w:numFmt w:val="lowerRoman"/>
      <w:lvlText w:val="%3."/>
      <w:lvlJc w:val="right"/>
      <w:pPr>
        <w:ind w:left="2225" w:hanging="180"/>
      </w:pPr>
    </w:lvl>
    <w:lvl w:ilvl="3" w:tplc="0C09000F" w:tentative="1">
      <w:start w:val="1"/>
      <w:numFmt w:val="decimal"/>
      <w:lvlText w:val="%4."/>
      <w:lvlJc w:val="left"/>
      <w:pPr>
        <w:ind w:left="2945" w:hanging="360"/>
      </w:pPr>
    </w:lvl>
    <w:lvl w:ilvl="4" w:tplc="0C090019" w:tentative="1">
      <w:start w:val="1"/>
      <w:numFmt w:val="lowerLetter"/>
      <w:lvlText w:val="%5."/>
      <w:lvlJc w:val="left"/>
      <w:pPr>
        <w:ind w:left="3665" w:hanging="360"/>
      </w:pPr>
    </w:lvl>
    <w:lvl w:ilvl="5" w:tplc="0C09001B" w:tentative="1">
      <w:start w:val="1"/>
      <w:numFmt w:val="lowerRoman"/>
      <w:lvlText w:val="%6."/>
      <w:lvlJc w:val="right"/>
      <w:pPr>
        <w:ind w:left="4385" w:hanging="180"/>
      </w:pPr>
    </w:lvl>
    <w:lvl w:ilvl="6" w:tplc="0C09000F" w:tentative="1">
      <w:start w:val="1"/>
      <w:numFmt w:val="decimal"/>
      <w:lvlText w:val="%7."/>
      <w:lvlJc w:val="left"/>
      <w:pPr>
        <w:ind w:left="5105" w:hanging="360"/>
      </w:pPr>
    </w:lvl>
    <w:lvl w:ilvl="7" w:tplc="0C090019" w:tentative="1">
      <w:start w:val="1"/>
      <w:numFmt w:val="lowerLetter"/>
      <w:lvlText w:val="%8."/>
      <w:lvlJc w:val="left"/>
      <w:pPr>
        <w:ind w:left="5825" w:hanging="360"/>
      </w:pPr>
    </w:lvl>
    <w:lvl w:ilvl="8" w:tplc="0C09001B" w:tentative="1">
      <w:start w:val="1"/>
      <w:numFmt w:val="lowerRoman"/>
      <w:lvlText w:val="%9."/>
      <w:lvlJc w:val="right"/>
      <w:pPr>
        <w:ind w:left="6545" w:hanging="180"/>
      </w:pPr>
    </w:lvl>
  </w:abstractNum>
  <w:abstractNum w:abstractNumId="43" w15:restartNumberingAfterBreak="0">
    <w:nsid w:val="3C8914D8"/>
    <w:multiLevelType w:val="hybridMultilevel"/>
    <w:tmpl w:val="9D1E14E8"/>
    <w:lvl w:ilvl="0" w:tplc="0C090017">
      <w:start w:val="1"/>
      <w:numFmt w:val="lowerLetter"/>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44" w15:restartNumberingAfterBreak="0">
    <w:nsid w:val="3D9114B9"/>
    <w:multiLevelType w:val="hybridMultilevel"/>
    <w:tmpl w:val="664600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41C27555"/>
    <w:multiLevelType w:val="hybridMultilevel"/>
    <w:tmpl w:val="6E845A28"/>
    <w:lvl w:ilvl="0" w:tplc="0C09000F">
      <w:start w:val="1"/>
      <w:numFmt w:val="decimal"/>
      <w:lvlText w:val="%1."/>
      <w:lvlJc w:val="left"/>
      <w:pPr>
        <w:ind w:left="4320" w:hanging="360"/>
      </w:pPr>
      <w:rPr>
        <w:rFonts w:hint="default"/>
      </w:rPr>
    </w:lvl>
    <w:lvl w:ilvl="1" w:tplc="0C090003">
      <w:start w:val="1"/>
      <w:numFmt w:val="bullet"/>
      <w:lvlText w:val="o"/>
      <w:lvlJc w:val="left"/>
      <w:pPr>
        <w:ind w:left="5040" w:hanging="360"/>
      </w:pPr>
      <w:rPr>
        <w:rFonts w:ascii="Courier New" w:hAnsi="Courier New" w:cs="Courier New" w:hint="default"/>
      </w:rPr>
    </w:lvl>
    <w:lvl w:ilvl="2" w:tplc="0C090005" w:tentative="1">
      <w:start w:val="1"/>
      <w:numFmt w:val="bullet"/>
      <w:lvlText w:val=""/>
      <w:lvlJc w:val="left"/>
      <w:pPr>
        <w:ind w:left="5760" w:hanging="360"/>
      </w:pPr>
      <w:rPr>
        <w:rFonts w:ascii="Wingdings" w:hAnsi="Wingdings" w:hint="default"/>
      </w:rPr>
    </w:lvl>
    <w:lvl w:ilvl="3" w:tplc="0C090001" w:tentative="1">
      <w:start w:val="1"/>
      <w:numFmt w:val="bullet"/>
      <w:lvlText w:val=""/>
      <w:lvlJc w:val="left"/>
      <w:pPr>
        <w:ind w:left="6480" w:hanging="360"/>
      </w:pPr>
      <w:rPr>
        <w:rFonts w:ascii="Symbol" w:hAnsi="Symbol" w:hint="default"/>
      </w:rPr>
    </w:lvl>
    <w:lvl w:ilvl="4" w:tplc="0C090003" w:tentative="1">
      <w:start w:val="1"/>
      <w:numFmt w:val="bullet"/>
      <w:lvlText w:val="o"/>
      <w:lvlJc w:val="left"/>
      <w:pPr>
        <w:ind w:left="7200" w:hanging="360"/>
      </w:pPr>
      <w:rPr>
        <w:rFonts w:ascii="Courier New" w:hAnsi="Courier New" w:cs="Courier New" w:hint="default"/>
      </w:rPr>
    </w:lvl>
    <w:lvl w:ilvl="5" w:tplc="0C090005" w:tentative="1">
      <w:start w:val="1"/>
      <w:numFmt w:val="bullet"/>
      <w:lvlText w:val=""/>
      <w:lvlJc w:val="left"/>
      <w:pPr>
        <w:ind w:left="7920" w:hanging="360"/>
      </w:pPr>
      <w:rPr>
        <w:rFonts w:ascii="Wingdings" w:hAnsi="Wingdings" w:hint="default"/>
      </w:rPr>
    </w:lvl>
    <w:lvl w:ilvl="6" w:tplc="0C090001" w:tentative="1">
      <w:start w:val="1"/>
      <w:numFmt w:val="bullet"/>
      <w:lvlText w:val=""/>
      <w:lvlJc w:val="left"/>
      <w:pPr>
        <w:ind w:left="8640" w:hanging="360"/>
      </w:pPr>
      <w:rPr>
        <w:rFonts w:ascii="Symbol" w:hAnsi="Symbol" w:hint="default"/>
      </w:rPr>
    </w:lvl>
    <w:lvl w:ilvl="7" w:tplc="0C090003" w:tentative="1">
      <w:start w:val="1"/>
      <w:numFmt w:val="bullet"/>
      <w:lvlText w:val="o"/>
      <w:lvlJc w:val="left"/>
      <w:pPr>
        <w:ind w:left="9360" w:hanging="360"/>
      </w:pPr>
      <w:rPr>
        <w:rFonts w:ascii="Courier New" w:hAnsi="Courier New" w:cs="Courier New" w:hint="default"/>
      </w:rPr>
    </w:lvl>
    <w:lvl w:ilvl="8" w:tplc="0C090005" w:tentative="1">
      <w:start w:val="1"/>
      <w:numFmt w:val="bullet"/>
      <w:lvlText w:val=""/>
      <w:lvlJc w:val="left"/>
      <w:pPr>
        <w:ind w:left="10080" w:hanging="360"/>
      </w:pPr>
      <w:rPr>
        <w:rFonts w:ascii="Wingdings" w:hAnsi="Wingdings" w:hint="default"/>
      </w:rPr>
    </w:lvl>
  </w:abstractNum>
  <w:abstractNum w:abstractNumId="46" w15:restartNumberingAfterBreak="0">
    <w:nsid w:val="4BA11CAE"/>
    <w:multiLevelType w:val="hybridMultilevel"/>
    <w:tmpl w:val="41A83A5A"/>
    <w:lvl w:ilvl="0" w:tplc="49442CE8">
      <w:numFmt w:val="bullet"/>
      <w:lvlText w:val="•"/>
      <w:lvlJc w:val="left"/>
      <w:pPr>
        <w:ind w:left="1429" w:hanging="360"/>
      </w:pPr>
      <w:rPr>
        <w:rFonts w:ascii="Arial" w:eastAsiaTheme="minorHAnsi" w:hAnsi="Arial" w:cs="Arial"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47" w15:restartNumberingAfterBreak="0">
    <w:nsid w:val="4EB4281D"/>
    <w:multiLevelType w:val="hybridMultilevel"/>
    <w:tmpl w:val="2A508D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53651AC6"/>
    <w:multiLevelType w:val="hybridMultilevel"/>
    <w:tmpl w:val="0B96E7EC"/>
    <w:lvl w:ilvl="0" w:tplc="B98CD2F8">
      <w:numFmt w:val="bullet"/>
      <w:lvlText w:val="•"/>
      <w:lvlJc w:val="left"/>
      <w:pPr>
        <w:ind w:left="1080" w:hanging="36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9" w15:restartNumberingAfterBreak="0">
    <w:nsid w:val="53EC558D"/>
    <w:multiLevelType w:val="hybridMultilevel"/>
    <w:tmpl w:val="B09AB55E"/>
    <w:lvl w:ilvl="0" w:tplc="49442CE8">
      <w:numFmt w:val="bullet"/>
      <w:lvlText w:val="•"/>
      <w:lvlJc w:val="left"/>
      <w:pPr>
        <w:ind w:left="1506" w:hanging="360"/>
      </w:pPr>
      <w:rPr>
        <w:rFonts w:ascii="Arial" w:eastAsiaTheme="minorHAnsi" w:hAnsi="Arial" w:cs="Aria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50" w15:restartNumberingAfterBreak="0">
    <w:nsid w:val="543A0A97"/>
    <w:multiLevelType w:val="hybridMultilevel"/>
    <w:tmpl w:val="E70675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55252828"/>
    <w:multiLevelType w:val="hybridMultilevel"/>
    <w:tmpl w:val="90BC0666"/>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2" w15:restartNumberingAfterBreak="0">
    <w:nsid w:val="562F0002"/>
    <w:multiLevelType w:val="hybridMultilevel"/>
    <w:tmpl w:val="15ACB138"/>
    <w:lvl w:ilvl="0" w:tplc="0C090001">
      <w:start w:val="1"/>
      <w:numFmt w:val="bullet"/>
      <w:lvlText w:val=""/>
      <w:lvlJc w:val="left"/>
      <w:pPr>
        <w:ind w:left="861" w:hanging="360"/>
      </w:pPr>
      <w:rPr>
        <w:rFonts w:ascii="Symbol" w:hAnsi="Symbol" w:hint="default"/>
      </w:rPr>
    </w:lvl>
    <w:lvl w:ilvl="1" w:tplc="0C090003" w:tentative="1">
      <w:start w:val="1"/>
      <w:numFmt w:val="bullet"/>
      <w:lvlText w:val="o"/>
      <w:lvlJc w:val="left"/>
      <w:pPr>
        <w:ind w:left="1581" w:hanging="360"/>
      </w:pPr>
      <w:rPr>
        <w:rFonts w:ascii="Courier New" w:hAnsi="Courier New" w:cs="Courier New" w:hint="default"/>
      </w:rPr>
    </w:lvl>
    <w:lvl w:ilvl="2" w:tplc="0C090005" w:tentative="1">
      <w:start w:val="1"/>
      <w:numFmt w:val="bullet"/>
      <w:lvlText w:val=""/>
      <w:lvlJc w:val="left"/>
      <w:pPr>
        <w:ind w:left="2301" w:hanging="360"/>
      </w:pPr>
      <w:rPr>
        <w:rFonts w:ascii="Wingdings" w:hAnsi="Wingdings" w:hint="default"/>
      </w:rPr>
    </w:lvl>
    <w:lvl w:ilvl="3" w:tplc="0C090001" w:tentative="1">
      <w:start w:val="1"/>
      <w:numFmt w:val="bullet"/>
      <w:lvlText w:val=""/>
      <w:lvlJc w:val="left"/>
      <w:pPr>
        <w:ind w:left="3021" w:hanging="360"/>
      </w:pPr>
      <w:rPr>
        <w:rFonts w:ascii="Symbol" w:hAnsi="Symbol" w:hint="default"/>
      </w:rPr>
    </w:lvl>
    <w:lvl w:ilvl="4" w:tplc="0C090003" w:tentative="1">
      <w:start w:val="1"/>
      <w:numFmt w:val="bullet"/>
      <w:lvlText w:val="o"/>
      <w:lvlJc w:val="left"/>
      <w:pPr>
        <w:ind w:left="3741" w:hanging="360"/>
      </w:pPr>
      <w:rPr>
        <w:rFonts w:ascii="Courier New" w:hAnsi="Courier New" w:cs="Courier New" w:hint="default"/>
      </w:rPr>
    </w:lvl>
    <w:lvl w:ilvl="5" w:tplc="0C090005" w:tentative="1">
      <w:start w:val="1"/>
      <w:numFmt w:val="bullet"/>
      <w:lvlText w:val=""/>
      <w:lvlJc w:val="left"/>
      <w:pPr>
        <w:ind w:left="4461" w:hanging="360"/>
      </w:pPr>
      <w:rPr>
        <w:rFonts w:ascii="Wingdings" w:hAnsi="Wingdings" w:hint="default"/>
      </w:rPr>
    </w:lvl>
    <w:lvl w:ilvl="6" w:tplc="0C090001" w:tentative="1">
      <w:start w:val="1"/>
      <w:numFmt w:val="bullet"/>
      <w:lvlText w:val=""/>
      <w:lvlJc w:val="left"/>
      <w:pPr>
        <w:ind w:left="5181" w:hanging="360"/>
      </w:pPr>
      <w:rPr>
        <w:rFonts w:ascii="Symbol" w:hAnsi="Symbol" w:hint="default"/>
      </w:rPr>
    </w:lvl>
    <w:lvl w:ilvl="7" w:tplc="0C090003" w:tentative="1">
      <w:start w:val="1"/>
      <w:numFmt w:val="bullet"/>
      <w:lvlText w:val="o"/>
      <w:lvlJc w:val="left"/>
      <w:pPr>
        <w:ind w:left="5901" w:hanging="360"/>
      </w:pPr>
      <w:rPr>
        <w:rFonts w:ascii="Courier New" w:hAnsi="Courier New" w:cs="Courier New" w:hint="default"/>
      </w:rPr>
    </w:lvl>
    <w:lvl w:ilvl="8" w:tplc="0C090005" w:tentative="1">
      <w:start w:val="1"/>
      <w:numFmt w:val="bullet"/>
      <w:lvlText w:val=""/>
      <w:lvlJc w:val="left"/>
      <w:pPr>
        <w:ind w:left="6621" w:hanging="360"/>
      </w:pPr>
      <w:rPr>
        <w:rFonts w:ascii="Wingdings" w:hAnsi="Wingdings" w:hint="default"/>
      </w:rPr>
    </w:lvl>
  </w:abstractNum>
  <w:abstractNum w:abstractNumId="53" w15:restartNumberingAfterBreak="0">
    <w:nsid w:val="578C6CB5"/>
    <w:multiLevelType w:val="hybridMultilevel"/>
    <w:tmpl w:val="381CD56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4" w15:restartNumberingAfterBreak="0">
    <w:nsid w:val="58824D20"/>
    <w:multiLevelType w:val="hybridMultilevel"/>
    <w:tmpl w:val="F5BA6B22"/>
    <w:lvl w:ilvl="0" w:tplc="0C090001">
      <w:start w:val="1"/>
      <w:numFmt w:val="bullet"/>
      <w:lvlText w:val=""/>
      <w:lvlJc w:val="left"/>
      <w:pPr>
        <w:ind w:left="1069" w:hanging="360"/>
      </w:pPr>
      <w:rPr>
        <w:rFonts w:ascii="Symbol" w:hAnsi="Symbol"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55" w15:restartNumberingAfterBreak="0">
    <w:nsid w:val="58BA1461"/>
    <w:multiLevelType w:val="hybridMultilevel"/>
    <w:tmpl w:val="0F324628"/>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56" w15:restartNumberingAfterBreak="0">
    <w:nsid w:val="5934719D"/>
    <w:multiLevelType w:val="hybridMultilevel"/>
    <w:tmpl w:val="D9FE920C"/>
    <w:lvl w:ilvl="0" w:tplc="5A98D4A6">
      <w:start w:val="1"/>
      <w:numFmt w:val="bullet"/>
      <w:lvlText w:val="•"/>
      <w:lvlJc w:val="left"/>
      <w:pPr>
        <w:ind w:left="889" w:hanging="270"/>
      </w:pPr>
    </w:lvl>
    <w:lvl w:ilvl="1" w:tplc="6E54EC5E">
      <w:numFmt w:val="decimal"/>
      <w:lvlText w:val=""/>
      <w:lvlJc w:val="left"/>
    </w:lvl>
    <w:lvl w:ilvl="2" w:tplc="90F2259A">
      <w:numFmt w:val="decimal"/>
      <w:lvlText w:val=""/>
      <w:lvlJc w:val="left"/>
    </w:lvl>
    <w:lvl w:ilvl="3" w:tplc="D30ABB16">
      <w:numFmt w:val="decimal"/>
      <w:lvlText w:val=""/>
      <w:lvlJc w:val="left"/>
    </w:lvl>
    <w:lvl w:ilvl="4" w:tplc="EA94EEC2">
      <w:numFmt w:val="decimal"/>
      <w:lvlText w:val=""/>
      <w:lvlJc w:val="left"/>
    </w:lvl>
    <w:lvl w:ilvl="5" w:tplc="3F8E7960">
      <w:numFmt w:val="decimal"/>
      <w:lvlText w:val=""/>
      <w:lvlJc w:val="left"/>
    </w:lvl>
    <w:lvl w:ilvl="6" w:tplc="BC161578">
      <w:numFmt w:val="decimal"/>
      <w:lvlText w:val=""/>
      <w:lvlJc w:val="left"/>
    </w:lvl>
    <w:lvl w:ilvl="7" w:tplc="EA4E6622">
      <w:numFmt w:val="decimal"/>
      <w:lvlText w:val=""/>
      <w:lvlJc w:val="left"/>
    </w:lvl>
    <w:lvl w:ilvl="8" w:tplc="92566580">
      <w:numFmt w:val="decimal"/>
      <w:lvlText w:val=""/>
      <w:lvlJc w:val="left"/>
    </w:lvl>
  </w:abstractNum>
  <w:abstractNum w:abstractNumId="57" w15:restartNumberingAfterBreak="0">
    <w:nsid w:val="5B1C119A"/>
    <w:multiLevelType w:val="multilevel"/>
    <w:tmpl w:val="E1589C66"/>
    <w:lvl w:ilvl="0">
      <w:start w:val="1"/>
      <w:numFmt w:val="bullet"/>
      <w:lvlText w:val=""/>
      <w:lvlJc w:val="left"/>
      <w:pPr>
        <w:tabs>
          <w:tab w:val="num" w:pos="1069"/>
        </w:tabs>
        <w:ind w:left="1069" w:hanging="360"/>
      </w:pPr>
      <w:rPr>
        <w:rFonts w:ascii="Symbol" w:hAnsi="Symbol"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58" w15:restartNumberingAfterBreak="0">
    <w:nsid w:val="5BC015D8"/>
    <w:multiLevelType w:val="multilevel"/>
    <w:tmpl w:val="3F3C5EA0"/>
    <w:name w:val="bullets"/>
    <w:lvl w:ilvl="0">
      <w:start w:val="1"/>
      <w:numFmt w:val="bullet"/>
      <w:pStyle w:val="ListBullet"/>
      <w:lvlText w:val="•"/>
      <w:lvlJc w:val="left"/>
      <w:pPr>
        <w:tabs>
          <w:tab w:val="num" w:pos="198"/>
        </w:tabs>
        <w:ind w:left="198" w:hanging="198"/>
      </w:pPr>
      <w:rPr>
        <w:rFonts w:ascii="Calibri" w:hAnsi="Calibri" w:hint="default"/>
      </w:rPr>
    </w:lvl>
    <w:lvl w:ilvl="1">
      <w:start w:val="1"/>
      <w:numFmt w:val="bullet"/>
      <w:pStyle w:val="ListBullet2"/>
      <w:lvlText w:val="–"/>
      <w:lvlJc w:val="left"/>
      <w:pPr>
        <w:tabs>
          <w:tab w:val="num" w:pos="397"/>
        </w:tabs>
        <w:ind w:left="396" w:hanging="198"/>
      </w:pPr>
      <w:rPr>
        <w:rFonts w:ascii="Muli Light" w:hAnsi="Muli Light" w:hint="default"/>
      </w:rPr>
    </w:lvl>
    <w:lvl w:ilvl="2">
      <w:start w:val="1"/>
      <w:numFmt w:val="bullet"/>
      <w:pStyle w:val="ListBullet3"/>
      <w:lvlText w:val="–"/>
      <w:lvlJc w:val="left"/>
      <w:pPr>
        <w:tabs>
          <w:tab w:val="num" w:pos="594"/>
        </w:tabs>
        <w:ind w:left="594" w:hanging="198"/>
      </w:pPr>
      <w:rPr>
        <w:rFonts w:ascii="Muli Light" w:hAnsi="Muli Light" w:hint="default"/>
      </w:rPr>
    </w:lvl>
    <w:lvl w:ilvl="3">
      <w:start w:val="1"/>
      <w:numFmt w:val="bullet"/>
      <w:lvlText w:val=""/>
      <w:lvlJc w:val="left"/>
      <w:pPr>
        <w:tabs>
          <w:tab w:val="num" w:pos="792"/>
        </w:tabs>
        <w:ind w:left="792" w:hanging="198"/>
      </w:pPr>
      <w:rPr>
        <w:rFonts w:ascii="Symbol" w:hAnsi="Symbol" w:hint="default"/>
      </w:rPr>
    </w:lvl>
    <w:lvl w:ilvl="4">
      <w:start w:val="1"/>
      <w:numFmt w:val="bullet"/>
      <w:lvlText w:val="o"/>
      <w:lvlJc w:val="left"/>
      <w:pPr>
        <w:tabs>
          <w:tab w:val="num" w:pos="990"/>
        </w:tabs>
        <w:ind w:left="990" w:hanging="198"/>
      </w:pPr>
      <w:rPr>
        <w:rFonts w:ascii="Courier New" w:hAnsi="Courier New" w:cs="Courier New" w:hint="default"/>
      </w:rPr>
    </w:lvl>
    <w:lvl w:ilvl="5">
      <w:start w:val="1"/>
      <w:numFmt w:val="bullet"/>
      <w:lvlText w:val=""/>
      <w:lvlJc w:val="left"/>
      <w:pPr>
        <w:tabs>
          <w:tab w:val="num" w:pos="1188"/>
        </w:tabs>
        <w:ind w:left="1188" w:hanging="198"/>
      </w:pPr>
      <w:rPr>
        <w:rFonts w:ascii="Wingdings" w:hAnsi="Wingdings" w:hint="default"/>
      </w:rPr>
    </w:lvl>
    <w:lvl w:ilvl="6">
      <w:start w:val="1"/>
      <w:numFmt w:val="bullet"/>
      <w:lvlText w:val=""/>
      <w:lvlJc w:val="left"/>
      <w:pPr>
        <w:tabs>
          <w:tab w:val="num" w:pos="1386"/>
        </w:tabs>
        <w:ind w:left="1386" w:hanging="198"/>
      </w:pPr>
      <w:rPr>
        <w:rFonts w:ascii="Symbol" w:hAnsi="Symbol" w:hint="default"/>
      </w:rPr>
    </w:lvl>
    <w:lvl w:ilvl="7">
      <w:start w:val="1"/>
      <w:numFmt w:val="bullet"/>
      <w:lvlText w:val="o"/>
      <w:lvlJc w:val="left"/>
      <w:pPr>
        <w:tabs>
          <w:tab w:val="num" w:pos="1584"/>
        </w:tabs>
        <w:ind w:left="1584" w:hanging="198"/>
      </w:pPr>
      <w:rPr>
        <w:rFonts w:ascii="Courier New" w:hAnsi="Courier New" w:cs="Courier New" w:hint="default"/>
      </w:rPr>
    </w:lvl>
    <w:lvl w:ilvl="8">
      <w:start w:val="1"/>
      <w:numFmt w:val="bullet"/>
      <w:lvlText w:val=""/>
      <w:lvlJc w:val="left"/>
      <w:pPr>
        <w:tabs>
          <w:tab w:val="num" w:pos="1782"/>
        </w:tabs>
        <w:ind w:left="1782" w:hanging="198"/>
      </w:pPr>
      <w:rPr>
        <w:rFonts w:ascii="Wingdings" w:hAnsi="Wingdings" w:hint="default"/>
      </w:rPr>
    </w:lvl>
  </w:abstractNum>
  <w:abstractNum w:abstractNumId="59" w15:restartNumberingAfterBreak="0">
    <w:nsid w:val="5CDF1966"/>
    <w:multiLevelType w:val="hybridMultilevel"/>
    <w:tmpl w:val="D4D0C71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0" w15:restartNumberingAfterBreak="0">
    <w:nsid w:val="5F8715F2"/>
    <w:multiLevelType w:val="multilevel"/>
    <w:tmpl w:val="61626904"/>
    <w:lvl w:ilvl="0">
      <w:start w:val="1"/>
      <w:numFmt w:val="decimal"/>
      <w:pStyle w:val="proc1"/>
      <w:lvlText w:val="%1"/>
      <w:lvlJc w:val="left"/>
      <w:pPr>
        <w:tabs>
          <w:tab w:val="num" w:pos="851"/>
        </w:tabs>
        <w:ind w:left="0" w:firstLine="0"/>
      </w:pPr>
      <w:rPr>
        <w:rFonts w:asciiTheme="minorHAnsi" w:hAnsiTheme="minorHAnsi" w:hint="default"/>
        <w:b/>
        <w:color w:val="0086B2" w:themeColor="accent1" w:themeShade="BF"/>
        <w:sz w:val="24"/>
      </w:rPr>
    </w:lvl>
    <w:lvl w:ilvl="1">
      <w:start w:val="1"/>
      <w:numFmt w:val="decimal"/>
      <w:pStyle w:val="proc2"/>
      <w:lvlText w:val="%1.%2"/>
      <w:lvlJc w:val="left"/>
      <w:pPr>
        <w:tabs>
          <w:tab w:val="num" w:pos="851"/>
        </w:tabs>
        <w:ind w:left="0" w:firstLine="0"/>
      </w:pPr>
      <w:rPr>
        <w:rFonts w:asciiTheme="minorHAnsi" w:hAnsiTheme="minorHAnsi" w:hint="default"/>
        <w:b/>
        <w:color w:val="0086B2" w:themeColor="accent1" w:themeShade="BF"/>
        <w:sz w:val="22"/>
      </w:rPr>
    </w:lvl>
    <w:lvl w:ilvl="2">
      <w:start w:val="1"/>
      <w:numFmt w:val="decimal"/>
      <w:pStyle w:val="proc3"/>
      <w:lvlText w:val="%1.%2.%3"/>
      <w:lvlJc w:val="left"/>
      <w:pPr>
        <w:tabs>
          <w:tab w:val="num" w:pos="851"/>
        </w:tabs>
        <w:ind w:left="0" w:firstLine="0"/>
      </w:pPr>
      <w:rPr>
        <w:rFonts w:asciiTheme="minorHAnsi" w:hAnsiTheme="minorHAnsi" w:hint="default"/>
        <w:b w:val="0"/>
        <w:color w:val="0086B2" w:themeColor="accent1" w:themeShade="BF"/>
        <w:sz w:val="22"/>
      </w:rPr>
    </w:lvl>
    <w:lvl w:ilvl="3">
      <w:start w:val="1"/>
      <w:numFmt w:val="decimal"/>
      <w:pStyle w:val="proc4"/>
      <w:lvlText w:val="%1.%2.%3.%4"/>
      <w:lvlJc w:val="left"/>
      <w:pPr>
        <w:tabs>
          <w:tab w:val="num" w:pos="851"/>
        </w:tabs>
        <w:ind w:left="0" w:firstLine="0"/>
      </w:pPr>
      <w:rPr>
        <w:rFonts w:asciiTheme="minorHAnsi" w:hAnsiTheme="minorHAnsi" w:hint="default"/>
        <w:i/>
        <w:color w:val="0086B2" w:themeColor="accent1" w:themeShade="BF"/>
        <w:sz w:val="22"/>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61" w15:restartNumberingAfterBreak="0">
    <w:nsid w:val="60C53D26"/>
    <w:multiLevelType w:val="hybridMultilevel"/>
    <w:tmpl w:val="11289AF0"/>
    <w:lvl w:ilvl="0" w:tplc="0C090001">
      <w:start w:val="1"/>
      <w:numFmt w:val="bullet"/>
      <w:lvlText w:val=""/>
      <w:lvlJc w:val="left"/>
      <w:pPr>
        <w:ind w:left="1069" w:hanging="360"/>
      </w:pPr>
      <w:rPr>
        <w:rFonts w:ascii="Symbol" w:hAnsi="Symbol" w:hint="default"/>
      </w:rPr>
    </w:lvl>
    <w:lvl w:ilvl="1" w:tplc="0C090003">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62" w15:restartNumberingAfterBreak="0">
    <w:nsid w:val="620C2564"/>
    <w:multiLevelType w:val="hybridMultilevel"/>
    <w:tmpl w:val="59A20CDE"/>
    <w:lvl w:ilvl="0" w:tplc="49442CE8">
      <w:numFmt w:val="bullet"/>
      <w:lvlText w:val="•"/>
      <w:lvlJc w:val="left"/>
      <w:pPr>
        <w:ind w:left="1506" w:hanging="360"/>
      </w:pPr>
      <w:rPr>
        <w:rFonts w:ascii="Arial" w:eastAsiaTheme="minorHAnsi" w:hAnsi="Arial" w:cs="Aria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63" w15:restartNumberingAfterBreak="0">
    <w:nsid w:val="647A6C04"/>
    <w:multiLevelType w:val="multilevel"/>
    <w:tmpl w:val="5D064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4FF4C16"/>
    <w:multiLevelType w:val="multilevel"/>
    <w:tmpl w:val="54E2F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6A342C5"/>
    <w:multiLevelType w:val="hybridMultilevel"/>
    <w:tmpl w:val="7D386B4E"/>
    <w:lvl w:ilvl="0" w:tplc="0C090001">
      <w:start w:val="1"/>
      <w:numFmt w:val="bullet"/>
      <w:lvlText w:val=""/>
      <w:lvlJc w:val="left"/>
      <w:pPr>
        <w:ind w:left="1120" w:hanging="360"/>
      </w:pPr>
      <w:rPr>
        <w:rFonts w:ascii="Symbol" w:hAnsi="Symbol" w:hint="default"/>
      </w:rPr>
    </w:lvl>
    <w:lvl w:ilvl="1" w:tplc="0C090003" w:tentative="1">
      <w:start w:val="1"/>
      <w:numFmt w:val="bullet"/>
      <w:lvlText w:val="o"/>
      <w:lvlJc w:val="left"/>
      <w:pPr>
        <w:ind w:left="1840" w:hanging="360"/>
      </w:pPr>
      <w:rPr>
        <w:rFonts w:ascii="Courier New" w:hAnsi="Courier New" w:cs="Courier New" w:hint="default"/>
      </w:rPr>
    </w:lvl>
    <w:lvl w:ilvl="2" w:tplc="0C090005" w:tentative="1">
      <w:start w:val="1"/>
      <w:numFmt w:val="bullet"/>
      <w:lvlText w:val=""/>
      <w:lvlJc w:val="left"/>
      <w:pPr>
        <w:ind w:left="2560" w:hanging="360"/>
      </w:pPr>
      <w:rPr>
        <w:rFonts w:ascii="Wingdings" w:hAnsi="Wingdings" w:hint="default"/>
      </w:rPr>
    </w:lvl>
    <w:lvl w:ilvl="3" w:tplc="0C090001" w:tentative="1">
      <w:start w:val="1"/>
      <w:numFmt w:val="bullet"/>
      <w:lvlText w:val=""/>
      <w:lvlJc w:val="left"/>
      <w:pPr>
        <w:ind w:left="3280" w:hanging="360"/>
      </w:pPr>
      <w:rPr>
        <w:rFonts w:ascii="Symbol" w:hAnsi="Symbol" w:hint="default"/>
      </w:rPr>
    </w:lvl>
    <w:lvl w:ilvl="4" w:tplc="0C090003" w:tentative="1">
      <w:start w:val="1"/>
      <w:numFmt w:val="bullet"/>
      <w:lvlText w:val="o"/>
      <w:lvlJc w:val="left"/>
      <w:pPr>
        <w:ind w:left="4000" w:hanging="360"/>
      </w:pPr>
      <w:rPr>
        <w:rFonts w:ascii="Courier New" w:hAnsi="Courier New" w:cs="Courier New" w:hint="default"/>
      </w:rPr>
    </w:lvl>
    <w:lvl w:ilvl="5" w:tplc="0C090005" w:tentative="1">
      <w:start w:val="1"/>
      <w:numFmt w:val="bullet"/>
      <w:lvlText w:val=""/>
      <w:lvlJc w:val="left"/>
      <w:pPr>
        <w:ind w:left="4720" w:hanging="360"/>
      </w:pPr>
      <w:rPr>
        <w:rFonts w:ascii="Wingdings" w:hAnsi="Wingdings" w:hint="default"/>
      </w:rPr>
    </w:lvl>
    <w:lvl w:ilvl="6" w:tplc="0C090001" w:tentative="1">
      <w:start w:val="1"/>
      <w:numFmt w:val="bullet"/>
      <w:lvlText w:val=""/>
      <w:lvlJc w:val="left"/>
      <w:pPr>
        <w:ind w:left="5440" w:hanging="360"/>
      </w:pPr>
      <w:rPr>
        <w:rFonts w:ascii="Symbol" w:hAnsi="Symbol" w:hint="default"/>
      </w:rPr>
    </w:lvl>
    <w:lvl w:ilvl="7" w:tplc="0C090003" w:tentative="1">
      <w:start w:val="1"/>
      <w:numFmt w:val="bullet"/>
      <w:lvlText w:val="o"/>
      <w:lvlJc w:val="left"/>
      <w:pPr>
        <w:ind w:left="6160" w:hanging="360"/>
      </w:pPr>
      <w:rPr>
        <w:rFonts w:ascii="Courier New" w:hAnsi="Courier New" w:cs="Courier New" w:hint="default"/>
      </w:rPr>
    </w:lvl>
    <w:lvl w:ilvl="8" w:tplc="0C090005" w:tentative="1">
      <w:start w:val="1"/>
      <w:numFmt w:val="bullet"/>
      <w:lvlText w:val=""/>
      <w:lvlJc w:val="left"/>
      <w:pPr>
        <w:ind w:left="6880" w:hanging="360"/>
      </w:pPr>
      <w:rPr>
        <w:rFonts w:ascii="Wingdings" w:hAnsi="Wingdings" w:hint="default"/>
      </w:rPr>
    </w:lvl>
  </w:abstractNum>
  <w:abstractNum w:abstractNumId="66" w15:restartNumberingAfterBreak="0">
    <w:nsid w:val="697E51E8"/>
    <w:multiLevelType w:val="hybridMultilevel"/>
    <w:tmpl w:val="105017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6A743BDE"/>
    <w:multiLevelType w:val="multilevel"/>
    <w:tmpl w:val="83525CFE"/>
    <w:lvl w:ilvl="0">
      <w:start w:val="1"/>
      <w:numFmt w:val="bullet"/>
      <w:pStyle w:val="TableBullet"/>
      <w:lvlText w:val="•"/>
      <w:lvlJc w:val="left"/>
      <w:pPr>
        <w:ind w:left="198" w:hanging="198"/>
      </w:pPr>
      <w:rPr>
        <w:rFonts w:ascii="Calibri" w:hAnsi="Calibri" w:hint="default"/>
        <w:sz w:val="20"/>
      </w:rPr>
    </w:lvl>
    <w:lvl w:ilvl="1">
      <w:start w:val="1"/>
      <w:numFmt w:val="bullet"/>
      <w:lvlText w:val="‒"/>
      <w:lvlJc w:val="left"/>
      <w:pPr>
        <w:ind w:left="396" w:hanging="198"/>
      </w:pPr>
      <w:rPr>
        <w:rFonts w:ascii="Calibri" w:hAnsi="Calibri" w:hint="default"/>
      </w:rPr>
    </w:lvl>
    <w:lvl w:ilvl="2">
      <w:start w:val="1"/>
      <w:numFmt w:val="bullet"/>
      <w:lvlText w:val="‒"/>
      <w:lvlJc w:val="left"/>
      <w:pPr>
        <w:ind w:left="594" w:hanging="198"/>
      </w:pPr>
      <w:rPr>
        <w:rFonts w:ascii="Calibri" w:hAnsi="Calibri" w:hint="default"/>
      </w:rPr>
    </w:lvl>
    <w:lvl w:ilvl="3">
      <w:start w:val="1"/>
      <w:numFmt w:val="decimal"/>
      <w:lvlText w:val="(%4)"/>
      <w:lvlJc w:val="left"/>
      <w:pPr>
        <w:ind w:left="792" w:hanging="198"/>
      </w:pPr>
      <w:rPr>
        <w:rFonts w:hint="default"/>
      </w:rPr>
    </w:lvl>
    <w:lvl w:ilvl="4">
      <w:start w:val="1"/>
      <w:numFmt w:val="lowerLetter"/>
      <w:lvlText w:val="(%5)"/>
      <w:lvlJc w:val="left"/>
      <w:pPr>
        <w:ind w:left="990" w:hanging="198"/>
      </w:pPr>
      <w:rPr>
        <w:rFonts w:hint="default"/>
      </w:rPr>
    </w:lvl>
    <w:lvl w:ilvl="5">
      <w:start w:val="1"/>
      <w:numFmt w:val="lowerRoman"/>
      <w:lvlText w:val="(%6)"/>
      <w:lvlJc w:val="left"/>
      <w:pPr>
        <w:ind w:left="1188" w:hanging="198"/>
      </w:pPr>
      <w:rPr>
        <w:rFonts w:hint="default"/>
      </w:rPr>
    </w:lvl>
    <w:lvl w:ilvl="6">
      <w:start w:val="1"/>
      <w:numFmt w:val="decimal"/>
      <w:lvlText w:val="%7."/>
      <w:lvlJc w:val="left"/>
      <w:pPr>
        <w:ind w:left="1386" w:hanging="198"/>
      </w:pPr>
      <w:rPr>
        <w:rFonts w:hint="default"/>
      </w:rPr>
    </w:lvl>
    <w:lvl w:ilvl="7">
      <w:start w:val="1"/>
      <w:numFmt w:val="lowerLetter"/>
      <w:lvlText w:val="%8."/>
      <w:lvlJc w:val="left"/>
      <w:pPr>
        <w:ind w:left="1584" w:hanging="198"/>
      </w:pPr>
      <w:rPr>
        <w:rFonts w:hint="default"/>
      </w:rPr>
    </w:lvl>
    <w:lvl w:ilvl="8">
      <w:start w:val="1"/>
      <w:numFmt w:val="lowerRoman"/>
      <w:lvlText w:val="%9."/>
      <w:lvlJc w:val="left"/>
      <w:pPr>
        <w:ind w:left="1782" w:hanging="198"/>
      </w:pPr>
      <w:rPr>
        <w:rFonts w:hint="default"/>
      </w:rPr>
    </w:lvl>
  </w:abstractNum>
  <w:abstractNum w:abstractNumId="68" w15:restartNumberingAfterBreak="0">
    <w:nsid w:val="6AFA4AA1"/>
    <w:multiLevelType w:val="multilevel"/>
    <w:tmpl w:val="A830C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D96697E"/>
    <w:multiLevelType w:val="hybridMultilevel"/>
    <w:tmpl w:val="B6BCE08A"/>
    <w:lvl w:ilvl="0" w:tplc="0CB6E71C">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70" w15:restartNumberingAfterBreak="0">
    <w:nsid w:val="707036BA"/>
    <w:multiLevelType w:val="multilevel"/>
    <w:tmpl w:val="6046F38E"/>
    <w:lvl w:ilvl="0">
      <w:start w:val="1"/>
      <w:numFmt w:val="decimal"/>
      <w:lvlText w:val="%1."/>
      <w:lvlJc w:val="left"/>
      <w:pPr>
        <w:ind w:left="720" w:hanging="360"/>
      </w:pPr>
      <w:rPr>
        <w:rFonts w:hint="default"/>
        <w:b/>
        <w:bCs w:val="0"/>
      </w:rPr>
    </w:lvl>
    <w:lvl w:ilvl="1">
      <w:start w:val="1"/>
      <w:numFmt w:val="decimal"/>
      <w:isLgl/>
      <w:lvlText w:val="%1.%2"/>
      <w:lvlJc w:val="left"/>
      <w:pPr>
        <w:ind w:left="1145" w:hanging="72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71" w15:restartNumberingAfterBreak="0">
    <w:nsid w:val="76306D62"/>
    <w:multiLevelType w:val="hybridMultilevel"/>
    <w:tmpl w:val="AE3CE52A"/>
    <w:lvl w:ilvl="0" w:tplc="0C090001">
      <w:start w:val="1"/>
      <w:numFmt w:val="bullet"/>
      <w:lvlText w:val=""/>
      <w:lvlJc w:val="left"/>
      <w:pPr>
        <w:ind w:left="1145" w:hanging="360"/>
      </w:pPr>
      <w:rPr>
        <w:rFonts w:ascii="Symbol" w:hAnsi="Symbol" w:hint="default"/>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72" w15:restartNumberingAfterBreak="0">
    <w:nsid w:val="77566788"/>
    <w:multiLevelType w:val="multilevel"/>
    <w:tmpl w:val="6046F38E"/>
    <w:lvl w:ilvl="0">
      <w:start w:val="1"/>
      <w:numFmt w:val="decimal"/>
      <w:lvlText w:val="%1."/>
      <w:lvlJc w:val="left"/>
      <w:pPr>
        <w:ind w:left="720" w:hanging="360"/>
      </w:pPr>
      <w:rPr>
        <w:rFonts w:hint="default"/>
        <w:b/>
        <w:bCs w:val="0"/>
      </w:rPr>
    </w:lvl>
    <w:lvl w:ilvl="1">
      <w:start w:val="1"/>
      <w:numFmt w:val="decimal"/>
      <w:isLgl/>
      <w:lvlText w:val="%1.%2"/>
      <w:lvlJc w:val="left"/>
      <w:pPr>
        <w:ind w:left="1080" w:hanging="72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73"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74" w15:restartNumberingAfterBreak="0">
    <w:nsid w:val="7A1A0E92"/>
    <w:multiLevelType w:val="hybridMultilevel"/>
    <w:tmpl w:val="6922DB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5" w15:restartNumberingAfterBreak="0">
    <w:nsid w:val="7CE07F16"/>
    <w:multiLevelType w:val="hybridMultilevel"/>
    <w:tmpl w:val="89309BBE"/>
    <w:lvl w:ilvl="0" w:tplc="B98CD2F8">
      <w:numFmt w:val="bullet"/>
      <w:lvlText w:val="•"/>
      <w:lvlJc w:val="left"/>
      <w:pPr>
        <w:ind w:left="108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6" w15:restartNumberingAfterBreak="0">
    <w:nsid w:val="7DE17743"/>
    <w:multiLevelType w:val="hybridMultilevel"/>
    <w:tmpl w:val="0A56BF86"/>
    <w:lvl w:ilvl="0" w:tplc="0C090001">
      <w:start w:val="1"/>
      <w:numFmt w:val="bullet"/>
      <w:lvlText w:val=""/>
      <w:lvlJc w:val="left"/>
      <w:pPr>
        <w:ind w:left="1069" w:hanging="360"/>
      </w:pPr>
      <w:rPr>
        <w:rFonts w:ascii="Symbol" w:hAnsi="Symbol"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77" w15:restartNumberingAfterBreak="0">
    <w:nsid w:val="7E4F6717"/>
    <w:multiLevelType w:val="hybridMultilevel"/>
    <w:tmpl w:val="70B8DA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15:restartNumberingAfterBreak="0">
    <w:nsid w:val="7FEB3A47"/>
    <w:multiLevelType w:val="multilevel"/>
    <w:tmpl w:val="FD8224A2"/>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num w:numId="1" w16cid:durableId="602614987">
    <w:abstractNumId w:val="12"/>
  </w:num>
  <w:num w:numId="2" w16cid:durableId="1212233797">
    <w:abstractNumId w:val="58"/>
  </w:num>
  <w:num w:numId="3" w16cid:durableId="789476128">
    <w:abstractNumId w:val="67"/>
  </w:num>
  <w:num w:numId="4" w16cid:durableId="955529681">
    <w:abstractNumId w:val="25"/>
  </w:num>
  <w:num w:numId="5" w16cid:durableId="867177383">
    <w:abstractNumId w:val="30"/>
  </w:num>
  <w:num w:numId="6" w16cid:durableId="694187711">
    <w:abstractNumId w:val="5"/>
  </w:num>
  <w:num w:numId="7" w16cid:durableId="79714951">
    <w:abstractNumId w:val="35"/>
  </w:num>
  <w:num w:numId="8" w16cid:durableId="955873537">
    <w:abstractNumId w:val="60"/>
  </w:num>
  <w:num w:numId="9" w16cid:durableId="1556351847">
    <w:abstractNumId w:val="76"/>
  </w:num>
  <w:num w:numId="10" w16cid:durableId="1462380314">
    <w:abstractNumId w:val="61"/>
  </w:num>
  <w:num w:numId="11" w16cid:durableId="861894204">
    <w:abstractNumId w:val="41"/>
  </w:num>
  <w:num w:numId="12" w16cid:durableId="599872138">
    <w:abstractNumId w:val="44"/>
  </w:num>
  <w:num w:numId="13" w16cid:durableId="1200436458">
    <w:abstractNumId w:val="8"/>
  </w:num>
  <w:num w:numId="14" w16cid:durableId="131335375">
    <w:abstractNumId w:val="7"/>
  </w:num>
  <w:num w:numId="15" w16cid:durableId="1815098171">
    <w:abstractNumId w:val="77"/>
  </w:num>
  <w:num w:numId="16" w16cid:durableId="1626886992">
    <w:abstractNumId w:val="47"/>
  </w:num>
  <w:num w:numId="17" w16cid:durableId="520316434">
    <w:abstractNumId w:val="39"/>
  </w:num>
  <w:num w:numId="18" w16cid:durableId="1662201090">
    <w:abstractNumId w:val="13"/>
  </w:num>
  <w:num w:numId="19" w16cid:durableId="501092475">
    <w:abstractNumId w:val="18"/>
  </w:num>
  <w:num w:numId="20" w16cid:durableId="205144556">
    <w:abstractNumId w:val="52"/>
  </w:num>
  <w:num w:numId="21" w16cid:durableId="840392876">
    <w:abstractNumId w:val="74"/>
  </w:num>
  <w:num w:numId="22" w16cid:durableId="749540332">
    <w:abstractNumId w:val="45"/>
  </w:num>
  <w:num w:numId="23" w16cid:durableId="1316301146">
    <w:abstractNumId w:val="2"/>
  </w:num>
  <w:num w:numId="24" w16cid:durableId="410156742">
    <w:abstractNumId w:val="34"/>
  </w:num>
  <w:num w:numId="25" w16cid:durableId="702174113">
    <w:abstractNumId w:val="66"/>
  </w:num>
  <w:num w:numId="26" w16cid:durableId="1944871710">
    <w:abstractNumId w:val="26"/>
  </w:num>
  <w:num w:numId="27" w16cid:durableId="138544978">
    <w:abstractNumId w:val="60"/>
  </w:num>
  <w:num w:numId="28" w16cid:durableId="1654606666">
    <w:abstractNumId w:val="60"/>
  </w:num>
  <w:num w:numId="29" w16cid:durableId="580021103">
    <w:abstractNumId w:val="43"/>
  </w:num>
  <w:num w:numId="30" w16cid:durableId="378474702">
    <w:abstractNumId w:val="78"/>
  </w:num>
  <w:num w:numId="31" w16cid:durableId="1963068552">
    <w:abstractNumId w:val="16"/>
  </w:num>
  <w:num w:numId="32" w16cid:durableId="1400864701">
    <w:abstractNumId w:val="40"/>
  </w:num>
  <w:num w:numId="33" w16cid:durableId="1916475435">
    <w:abstractNumId w:val="48"/>
  </w:num>
  <w:num w:numId="34" w16cid:durableId="1141463522">
    <w:abstractNumId w:val="6"/>
  </w:num>
  <w:num w:numId="35" w16cid:durableId="1460881670">
    <w:abstractNumId w:val="33"/>
  </w:num>
  <w:num w:numId="36" w16cid:durableId="472794710">
    <w:abstractNumId w:val="11"/>
  </w:num>
  <w:num w:numId="37" w16cid:durableId="23798054">
    <w:abstractNumId w:val="62"/>
  </w:num>
  <w:num w:numId="38" w16cid:durableId="1876195361">
    <w:abstractNumId w:val="51"/>
  </w:num>
  <w:num w:numId="39" w16cid:durableId="1325353669">
    <w:abstractNumId w:val="60"/>
  </w:num>
  <w:num w:numId="40" w16cid:durableId="2027948179">
    <w:abstractNumId w:val="29"/>
  </w:num>
  <w:num w:numId="41" w16cid:durableId="1792820126">
    <w:abstractNumId w:val="46"/>
  </w:num>
  <w:num w:numId="42" w16cid:durableId="898595718">
    <w:abstractNumId w:val="68"/>
  </w:num>
  <w:num w:numId="43" w16cid:durableId="813838460">
    <w:abstractNumId w:val="49"/>
  </w:num>
  <w:num w:numId="44" w16cid:durableId="564872970">
    <w:abstractNumId w:val="72"/>
  </w:num>
  <w:num w:numId="45" w16cid:durableId="1708799450">
    <w:abstractNumId w:val="60"/>
  </w:num>
  <w:num w:numId="46" w16cid:durableId="211893421">
    <w:abstractNumId w:val="60"/>
  </w:num>
  <w:num w:numId="47" w16cid:durableId="1914922909">
    <w:abstractNumId w:val="60"/>
  </w:num>
  <w:num w:numId="48" w16cid:durableId="1599100262">
    <w:abstractNumId w:val="60"/>
  </w:num>
  <w:num w:numId="49" w16cid:durableId="340662726">
    <w:abstractNumId w:val="19"/>
  </w:num>
  <w:num w:numId="50" w16cid:durableId="1056052891">
    <w:abstractNumId w:val="60"/>
  </w:num>
  <w:num w:numId="51" w16cid:durableId="83384678">
    <w:abstractNumId w:val="60"/>
  </w:num>
  <w:num w:numId="52" w16cid:durableId="434449420">
    <w:abstractNumId w:val="60"/>
  </w:num>
  <w:num w:numId="53" w16cid:durableId="1293637696">
    <w:abstractNumId w:val="60"/>
  </w:num>
  <w:num w:numId="54" w16cid:durableId="1199588844">
    <w:abstractNumId w:val="60"/>
  </w:num>
  <w:num w:numId="55" w16cid:durableId="671027063">
    <w:abstractNumId w:val="60"/>
  </w:num>
  <w:num w:numId="56" w16cid:durableId="1237788672">
    <w:abstractNumId w:val="60"/>
  </w:num>
  <w:num w:numId="57" w16cid:durableId="1415783851">
    <w:abstractNumId w:val="60"/>
  </w:num>
  <w:num w:numId="58" w16cid:durableId="800030363">
    <w:abstractNumId w:val="60"/>
  </w:num>
  <w:num w:numId="59" w16cid:durableId="587157653">
    <w:abstractNumId w:val="60"/>
  </w:num>
  <w:num w:numId="60" w16cid:durableId="808478594">
    <w:abstractNumId w:val="60"/>
  </w:num>
  <w:num w:numId="61" w16cid:durableId="978414909">
    <w:abstractNumId w:val="60"/>
  </w:num>
  <w:num w:numId="62" w16cid:durableId="1482697306">
    <w:abstractNumId w:val="60"/>
  </w:num>
  <w:num w:numId="63" w16cid:durableId="2065061517">
    <w:abstractNumId w:val="60"/>
  </w:num>
  <w:num w:numId="64" w16cid:durableId="335812576">
    <w:abstractNumId w:val="60"/>
  </w:num>
  <w:num w:numId="65" w16cid:durableId="1745293025">
    <w:abstractNumId w:val="60"/>
  </w:num>
  <w:num w:numId="66" w16cid:durableId="1190338272">
    <w:abstractNumId w:val="60"/>
  </w:num>
  <w:num w:numId="67" w16cid:durableId="1495493770">
    <w:abstractNumId w:val="60"/>
  </w:num>
  <w:num w:numId="68" w16cid:durableId="1972511002">
    <w:abstractNumId w:val="60"/>
  </w:num>
  <w:num w:numId="69" w16cid:durableId="458844492">
    <w:abstractNumId w:val="60"/>
  </w:num>
  <w:num w:numId="70" w16cid:durableId="41759699">
    <w:abstractNumId w:val="60"/>
  </w:num>
  <w:num w:numId="71" w16cid:durableId="1701856042">
    <w:abstractNumId w:val="60"/>
  </w:num>
  <w:num w:numId="72" w16cid:durableId="1601403252">
    <w:abstractNumId w:val="60"/>
  </w:num>
  <w:num w:numId="73" w16cid:durableId="865489356">
    <w:abstractNumId w:val="60"/>
  </w:num>
  <w:num w:numId="74" w16cid:durableId="1573269414">
    <w:abstractNumId w:val="60"/>
  </w:num>
  <w:num w:numId="75" w16cid:durableId="277029632">
    <w:abstractNumId w:val="60"/>
  </w:num>
  <w:num w:numId="76" w16cid:durableId="872033899">
    <w:abstractNumId w:val="60"/>
  </w:num>
  <w:num w:numId="77" w16cid:durableId="1163201324">
    <w:abstractNumId w:val="60"/>
  </w:num>
  <w:num w:numId="78" w16cid:durableId="1431703544">
    <w:abstractNumId w:val="60"/>
  </w:num>
  <w:num w:numId="79" w16cid:durableId="288508774">
    <w:abstractNumId w:val="60"/>
  </w:num>
  <w:num w:numId="80" w16cid:durableId="1380202173">
    <w:abstractNumId w:val="60"/>
  </w:num>
  <w:num w:numId="81" w16cid:durableId="1283806255">
    <w:abstractNumId w:val="60"/>
  </w:num>
  <w:num w:numId="82" w16cid:durableId="2001425181">
    <w:abstractNumId w:val="60"/>
  </w:num>
  <w:num w:numId="83" w16cid:durableId="223026482">
    <w:abstractNumId w:val="60"/>
  </w:num>
  <w:num w:numId="84" w16cid:durableId="586809728">
    <w:abstractNumId w:val="60"/>
  </w:num>
  <w:num w:numId="85" w16cid:durableId="801658030">
    <w:abstractNumId w:val="60"/>
  </w:num>
  <w:num w:numId="86" w16cid:durableId="2013876716">
    <w:abstractNumId w:val="60"/>
  </w:num>
  <w:num w:numId="87" w16cid:durableId="1139104754">
    <w:abstractNumId w:val="60"/>
  </w:num>
  <w:num w:numId="88" w16cid:durableId="147330479">
    <w:abstractNumId w:val="60"/>
  </w:num>
  <w:num w:numId="89" w16cid:durableId="54133239">
    <w:abstractNumId w:val="60"/>
  </w:num>
  <w:num w:numId="90" w16cid:durableId="1117019294">
    <w:abstractNumId w:val="60"/>
  </w:num>
  <w:num w:numId="91" w16cid:durableId="50153644">
    <w:abstractNumId w:val="60"/>
  </w:num>
  <w:num w:numId="92" w16cid:durableId="918489358">
    <w:abstractNumId w:val="60"/>
  </w:num>
  <w:num w:numId="93" w16cid:durableId="1735810136">
    <w:abstractNumId w:val="60"/>
  </w:num>
  <w:num w:numId="94" w16cid:durableId="306007766">
    <w:abstractNumId w:val="60"/>
  </w:num>
  <w:num w:numId="95" w16cid:durableId="1390491985">
    <w:abstractNumId w:val="60"/>
  </w:num>
  <w:num w:numId="96" w16cid:durableId="1555508850">
    <w:abstractNumId w:val="60"/>
  </w:num>
  <w:num w:numId="97" w16cid:durableId="383673814">
    <w:abstractNumId w:val="10"/>
  </w:num>
  <w:num w:numId="98" w16cid:durableId="2100057787">
    <w:abstractNumId w:val="17"/>
  </w:num>
  <w:num w:numId="99" w16cid:durableId="1605184426">
    <w:abstractNumId w:val="63"/>
  </w:num>
  <w:num w:numId="100" w16cid:durableId="1763599640">
    <w:abstractNumId w:val="64"/>
  </w:num>
  <w:num w:numId="101" w16cid:durableId="430126847">
    <w:abstractNumId w:val="15"/>
  </w:num>
  <w:num w:numId="102" w16cid:durableId="474182102">
    <w:abstractNumId w:val="9"/>
  </w:num>
  <w:num w:numId="103" w16cid:durableId="1233855891">
    <w:abstractNumId w:val="32"/>
  </w:num>
  <w:num w:numId="104" w16cid:durableId="1531992217">
    <w:abstractNumId w:val="60"/>
  </w:num>
  <w:num w:numId="105" w16cid:durableId="803812954">
    <w:abstractNumId w:val="60"/>
  </w:num>
  <w:num w:numId="106" w16cid:durableId="1036782784">
    <w:abstractNumId w:val="50"/>
  </w:num>
  <w:num w:numId="107" w16cid:durableId="1964993259">
    <w:abstractNumId w:val="75"/>
  </w:num>
  <w:num w:numId="108" w16cid:durableId="659772045">
    <w:abstractNumId w:val="36"/>
  </w:num>
  <w:num w:numId="109" w16cid:durableId="882332736">
    <w:abstractNumId w:val="70"/>
  </w:num>
  <w:num w:numId="110" w16cid:durableId="1597521562">
    <w:abstractNumId w:val="56"/>
    <w:lvlOverride w:ilvl="0">
      <w:startOverride w:val="1"/>
    </w:lvlOverride>
  </w:num>
  <w:num w:numId="111" w16cid:durableId="947855594">
    <w:abstractNumId w:val="55"/>
  </w:num>
  <w:num w:numId="112" w16cid:durableId="463934942">
    <w:abstractNumId w:val="60"/>
  </w:num>
  <w:num w:numId="113" w16cid:durableId="2058310400">
    <w:abstractNumId w:val="65"/>
  </w:num>
  <w:num w:numId="114" w16cid:durableId="45492579">
    <w:abstractNumId w:val="60"/>
  </w:num>
  <w:num w:numId="115" w16cid:durableId="149761469">
    <w:abstractNumId w:val="71"/>
  </w:num>
  <w:num w:numId="116" w16cid:durableId="967123770">
    <w:abstractNumId w:val="57"/>
  </w:num>
  <w:num w:numId="117" w16cid:durableId="775052748">
    <w:abstractNumId w:val="23"/>
  </w:num>
  <w:num w:numId="118" w16cid:durableId="1928494492">
    <w:abstractNumId w:val="20"/>
  </w:num>
  <w:num w:numId="119" w16cid:durableId="668139945">
    <w:abstractNumId w:val="59"/>
  </w:num>
  <w:num w:numId="120" w16cid:durableId="168064382">
    <w:abstractNumId w:val="21"/>
  </w:num>
  <w:num w:numId="121" w16cid:durableId="706753930">
    <w:abstractNumId w:val="24"/>
  </w:num>
  <w:num w:numId="122" w16cid:durableId="1183591528">
    <w:abstractNumId w:val="60"/>
  </w:num>
  <w:num w:numId="123" w16cid:durableId="401099016">
    <w:abstractNumId w:val="31"/>
  </w:num>
  <w:num w:numId="124" w16cid:durableId="1352414573">
    <w:abstractNumId w:val="54"/>
  </w:num>
  <w:num w:numId="125" w16cid:durableId="1349723201">
    <w:abstractNumId w:val="4"/>
  </w:num>
  <w:num w:numId="126" w16cid:durableId="1326786313">
    <w:abstractNumId w:val="38"/>
  </w:num>
  <w:num w:numId="127" w16cid:durableId="1371102744">
    <w:abstractNumId w:val="60"/>
  </w:num>
  <w:num w:numId="128" w16cid:durableId="2107604590">
    <w:abstractNumId w:val="60"/>
  </w:num>
  <w:num w:numId="129" w16cid:durableId="1944611023">
    <w:abstractNumId w:val="60"/>
  </w:num>
  <w:num w:numId="130" w16cid:durableId="885797598">
    <w:abstractNumId w:val="60"/>
  </w:num>
  <w:num w:numId="131" w16cid:durableId="930509498">
    <w:abstractNumId w:val="60"/>
  </w:num>
  <w:num w:numId="132" w16cid:durableId="796994323">
    <w:abstractNumId w:val="60"/>
  </w:num>
  <w:num w:numId="133" w16cid:durableId="274022718">
    <w:abstractNumId w:val="60"/>
  </w:num>
  <w:num w:numId="134" w16cid:durableId="1097167063">
    <w:abstractNumId w:val="60"/>
  </w:num>
  <w:num w:numId="135" w16cid:durableId="835418566">
    <w:abstractNumId w:val="60"/>
  </w:num>
  <w:num w:numId="136" w16cid:durableId="404882423">
    <w:abstractNumId w:val="42"/>
  </w:num>
  <w:num w:numId="137" w16cid:durableId="973676429">
    <w:abstractNumId w:val="60"/>
  </w:num>
  <w:num w:numId="138" w16cid:durableId="638607447">
    <w:abstractNumId w:val="60"/>
  </w:num>
  <w:num w:numId="139" w16cid:durableId="674577101">
    <w:abstractNumId w:val="60"/>
  </w:num>
  <w:num w:numId="140" w16cid:durableId="156072239">
    <w:abstractNumId w:val="60"/>
  </w:num>
  <w:num w:numId="141" w16cid:durableId="348651656">
    <w:abstractNumId w:val="60"/>
  </w:num>
  <w:num w:numId="142" w16cid:durableId="1360160536">
    <w:abstractNumId w:val="60"/>
  </w:num>
  <w:num w:numId="143" w16cid:durableId="118034246">
    <w:abstractNumId w:val="60"/>
  </w:num>
  <w:num w:numId="144" w16cid:durableId="1483036668">
    <w:abstractNumId w:val="60"/>
  </w:num>
  <w:num w:numId="145" w16cid:durableId="139621455">
    <w:abstractNumId w:val="60"/>
  </w:num>
  <w:num w:numId="146" w16cid:durableId="1701314951">
    <w:abstractNumId w:val="60"/>
  </w:num>
  <w:num w:numId="147" w16cid:durableId="1037127043">
    <w:abstractNumId w:val="60"/>
  </w:num>
  <w:num w:numId="148" w16cid:durableId="1886870779">
    <w:abstractNumId w:val="60"/>
  </w:num>
  <w:num w:numId="149" w16cid:durableId="488713499">
    <w:abstractNumId w:val="60"/>
  </w:num>
  <w:num w:numId="150" w16cid:durableId="1204488654">
    <w:abstractNumId w:val="60"/>
  </w:num>
  <w:num w:numId="151" w16cid:durableId="2062944058">
    <w:abstractNumId w:val="60"/>
  </w:num>
  <w:num w:numId="152" w16cid:durableId="458955937">
    <w:abstractNumId w:val="60"/>
  </w:num>
  <w:num w:numId="153" w16cid:durableId="1694264279">
    <w:abstractNumId w:val="60"/>
  </w:num>
  <w:num w:numId="154" w16cid:durableId="1955674374">
    <w:abstractNumId w:val="60"/>
  </w:num>
  <w:num w:numId="155" w16cid:durableId="1369061977">
    <w:abstractNumId w:val="60"/>
  </w:num>
  <w:num w:numId="156" w16cid:durableId="554702521">
    <w:abstractNumId w:val="60"/>
  </w:num>
  <w:num w:numId="157" w16cid:durableId="1153792424">
    <w:abstractNumId w:val="60"/>
  </w:num>
  <w:num w:numId="158" w16cid:durableId="1073164925">
    <w:abstractNumId w:val="60"/>
  </w:num>
  <w:num w:numId="159" w16cid:durableId="1815483512">
    <w:abstractNumId w:val="60"/>
  </w:num>
  <w:num w:numId="160" w16cid:durableId="236326523">
    <w:abstractNumId w:val="60"/>
  </w:num>
  <w:num w:numId="161" w16cid:durableId="782118197">
    <w:abstractNumId w:val="60"/>
  </w:num>
  <w:num w:numId="162" w16cid:durableId="1986667152">
    <w:abstractNumId w:val="60"/>
  </w:num>
  <w:num w:numId="163" w16cid:durableId="812646830">
    <w:abstractNumId w:val="60"/>
  </w:num>
  <w:num w:numId="164" w16cid:durableId="542137666">
    <w:abstractNumId w:val="69"/>
  </w:num>
  <w:num w:numId="165" w16cid:durableId="476066638">
    <w:abstractNumId w:val="60"/>
  </w:num>
  <w:num w:numId="166" w16cid:durableId="1316449802">
    <w:abstractNumId w:val="60"/>
  </w:num>
  <w:num w:numId="167" w16cid:durableId="1787652250">
    <w:abstractNumId w:val="60"/>
  </w:num>
  <w:num w:numId="168" w16cid:durableId="2145846831">
    <w:abstractNumId w:val="60"/>
  </w:num>
  <w:num w:numId="169" w16cid:durableId="1651909991">
    <w:abstractNumId w:val="60"/>
  </w:num>
  <w:num w:numId="170" w16cid:durableId="1027367149">
    <w:abstractNumId w:val="60"/>
  </w:num>
  <w:num w:numId="171" w16cid:durableId="1245991197">
    <w:abstractNumId w:val="60"/>
  </w:num>
  <w:num w:numId="172" w16cid:durableId="270206363">
    <w:abstractNumId w:val="60"/>
  </w:num>
  <w:num w:numId="173" w16cid:durableId="1700817796">
    <w:abstractNumId w:val="60"/>
  </w:num>
  <w:num w:numId="174" w16cid:durableId="92022229">
    <w:abstractNumId w:val="60"/>
  </w:num>
  <w:num w:numId="175" w16cid:durableId="308826403">
    <w:abstractNumId w:val="60"/>
  </w:num>
  <w:num w:numId="176" w16cid:durableId="348606848">
    <w:abstractNumId w:val="60"/>
  </w:num>
  <w:num w:numId="177" w16cid:durableId="229966920">
    <w:abstractNumId w:val="60"/>
  </w:num>
  <w:num w:numId="178" w16cid:durableId="1646818562">
    <w:abstractNumId w:val="60"/>
  </w:num>
  <w:num w:numId="179" w16cid:durableId="1003320588">
    <w:abstractNumId w:val="60"/>
  </w:num>
  <w:num w:numId="180" w16cid:durableId="1437675115">
    <w:abstractNumId w:val="60"/>
  </w:num>
  <w:num w:numId="181" w16cid:durableId="934633152">
    <w:abstractNumId w:val="60"/>
  </w:num>
  <w:num w:numId="182" w16cid:durableId="1048797827">
    <w:abstractNumId w:val="60"/>
  </w:num>
  <w:num w:numId="183" w16cid:durableId="994407552">
    <w:abstractNumId w:val="60"/>
  </w:num>
  <w:num w:numId="184" w16cid:durableId="892540543">
    <w:abstractNumId w:val="60"/>
  </w:num>
  <w:num w:numId="185" w16cid:durableId="1844781719">
    <w:abstractNumId w:val="60"/>
  </w:num>
  <w:num w:numId="186" w16cid:durableId="1519197714">
    <w:abstractNumId w:val="60"/>
  </w:num>
  <w:num w:numId="187" w16cid:durableId="1011613802">
    <w:abstractNumId w:val="14"/>
  </w:num>
  <w:num w:numId="188" w16cid:durableId="296683730">
    <w:abstractNumId w:val="60"/>
  </w:num>
  <w:num w:numId="189" w16cid:durableId="1446726299">
    <w:abstractNumId w:val="53"/>
  </w:num>
  <w:num w:numId="190" w16cid:durableId="799034073">
    <w:abstractNumId w:val="22"/>
  </w:num>
  <w:numIdMacAtCleanup w:val="1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501"/>
    <w:rsid w:val="000012E8"/>
    <w:rsid w:val="00002023"/>
    <w:rsid w:val="000023C1"/>
    <w:rsid w:val="00004A4A"/>
    <w:rsid w:val="0000578C"/>
    <w:rsid w:val="00010362"/>
    <w:rsid w:val="00011034"/>
    <w:rsid w:val="00011A11"/>
    <w:rsid w:val="00012493"/>
    <w:rsid w:val="0001265C"/>
    <w:rsid w:val="00012BC7"/>
    <w:rsid w:val="00015395"/>
    <w:rsid w:val="00015489"/>
    <w:rsid w:val="0001623C"/>
    <w:rsid w:val="000162B2"/>
    <w:rsid w:val="00017E05"/>
    <w:rsid w:val="000201B8"/>
    <w:rsid w:val="00020A45"/>
    <w:rsid w:val="00021629"/>
    <w:rsid w:val="00021929"/>
    <w:rsid w:val="00021D21"/>
    <w:rsid w:val="00022799"/>
    <w:rsid w:val="00023AA8"/>
    <w:rsid w:val="000245EA"/>
    <w:rsid w:val="000246A4"/>
    <w:rsid w:val="000257A1"/>
    <w:rsid w:val="0002644B"/>
    <w:rsid w:val="000272F2"/>
    <w:rsid w:val="00030BD6"/>
    <w:rsid w:val="00030D7D"/>
    <w:rsid w:val="00030FBA"/>
    <w:rsid w:val="00031B2B"/>
    <w:rsid w:val="00031EAD"/>
    <w:rsid w:val="0003241A"/>
    <w:rsid w:val="0003247A"/>
    <w:rsid w:val="000335D3"/>
    <w:rsid w:val="0003381D"/>
    <w:rsid w:val="000340A9"/>
    <w:rsid w:val="00034108"/>
    <w:rsid w:val="00034C73"/>
    <w:rsid w:val="0003509B"/>
    <w:rsid w:val="00035765"/>
    <w:rsid w:val="0004022D"/>
    <w:rsid w:val="000408E4"/>
    <w:rsid w:val="00040B23"/>
    <w:rsid w:val="00040CCF"/>
    <w:rsid w:val="00041675"/>
    <w:rsid w:val="0004197D"/>
    <w:rsid w:val="00041FC6"/>
    <w:rsid w:val="000424CD"/>
    <w:rsid w:val="00043B5E"/>
    <w:rsid w:val="00044AFD"/>
    <w:rsid w:val="00045A6F"/>
    <w:rsid w:val="000466D3"/>
    <w:rsid w:val="00047DC6"/>
    <w:rsid w:val="00050A2C"/>
    <w:rsid w:val="000514BD"/>
    <w:rsid w:val="00051561"/>
    <w:rsid w:val="00051849"/>
    <w:rsid w:val="000518C8"/>
    <w:rsid w:val="000534EF"/>
    <w:rsid w:val="00053D45"/>
    <w:rsid w:val="00055CD3"/>
    <w:rsid w:val="00056672"/>
    <w:rsid w:val="00056673"/>
    <w:rsid w:val="0005760A"/>
    <w:rsid w:val="0005788B"/>
    <w:rsid w:val="00057ED4"/>
    <w:rsid w:val="00060B82"/>
    <w:rsid w:val="000611E9"/>
    <w:rsid w:val="0006364C"/>
    <w:rsid w:val="00063E39"/>
    <w:rsid w:val="000646FF"/>
    <w:rsid w:val="00064D1C"/>
    <w:rsid w:val="00064F26"/>
    <w:rsid w:val="0007027E"/>
    <w:rsid w:val="00071414"/>
    <w:rsid w:val="00072119"/>
    <w:rsid w:val="00072C00"/>
    <w:rsid w:val="000756D0"/>
    <w:rsid w:val="00076093"/>
    <w:rsid w:val="000767E6"/>
    <w:rsid w:val="00077F1B"/>
    <w:rsid w:val="000800F6"/>
    <w:rsid w:val="0008275F"/>
    <w:rsid w:val="0008298C"/>
    <w:rsid w:val="000830C8"/>
    <w:rsid w:val="0008428E"/>
    <w:rsid w:val="000846FE"/>
    <w:rsid w:val="00085D76"/>
    <w:rsid w:val="00086690"/>
    <w:rsid w:val="0008700E"/>
    <w:rsid w:val="0008708B"/>
    <w:rsid w:val="000872D9"/>
    <w:rsid w:val="00087375"/>
    <w:rsid w:val="000873E7"/>
    <w:rsid w:val="000913E8"/>
    <w:rsid w:val="00093C97"/>
    <w:rsid w:val="00094151"/>
    <w:rsid w:val="00095139"/>
    <w:rsid w:val="0009559C"/>
    <w:rsid w:val="00095CF4"/>
    <w:rsid w:val="00095E19"/>
    <w:rsid w:val="00096AAB"/>
    <w:rsid w:val="000A05CD"/>
    <w:rsid w:val="000A0633"/>
    <w:rsid w:val="000A14C4"/>
    <w:rsid w:val="000A3A71"/>
    <w:rsid w:val="000A540B"/>
    <w:rsid w:val="000A73E8"/>
    <w:rsid w:val="000A77AD"/>
    <w:rsid w:val="000B0A34"/>
    <w:rsid w:val="000B2482"/>
    <w:rsid w:val="000B29FA"/>
    <w:rsid w:val="000B3555"/>
    <w:rsid w:val="000B41A3"/>
    <w:rsid w:val="000B448D"/>
    <w:rsid w:val="000B44E9"/>
    <w:rsid w:val="000B48B1"/>
    <w:rsid w:val="000B5463"/>
    <w:rsid w:val="000B7D11"/>
    <w:rsid w:val="000B7E9C"/>
    <w:rsid w:val="000C0EB3"/>
    <w:rsid w:val="000C11BA"/>
    <w:rsid w:val="000C1333"/>
    <w:rsid w:val="000C2502"/>
    <w:rsid w:val="000C2C6E"/>
    <w:rsid w:val="000C2EA4"/>
    <w:rsid w:val="000C4D8C"/>
    <w:rsid w:val="000C7115"/>
    <w:rsid w:val="000C7DD4"/>
    <w:rsid w:val="000D19E4"/>
    <w:rsid w:val="000D227A"/>
    <w:rsid w:val="000D2F0A"/>
    <w:rsid w:val="000D333B"/>
    <w:rsid w:val="000D4C60"/>
    <w:rsid w:val="000D6E52"/>
    <w:rsid w:val="000D6EA5"/>
    <w:rsid w:val="000D712A"/>
    <w:rsid w:val="000D74B5"/>
    <w:rsid w:val="000D782E"/>
    <w:rsid w:val="000E076A"/>
    <w:rsid w:val="000E1101"/>
    <w:rsid w:val="000E1F5B"/>
    <w:rsid w:val="000E1FAC"/>
    <w:rsid w:val="000E22A7"/>
    <w:rsid w:val="000E34F1"/>
    <w:rsid w:val="000E46A7"/>
    <w:rsid w:val="000E4DCA"/>
    <w:rsid w:val="000E599E"/>
    <w:rsid w:val="000E7A16"/>
    <w:rsid w:val="000E7EDA"/>
    <w:rsid w:val="000F058D"/>
    <w:rsid w:val="000F0E62"/>
    <w:rsid w:val="000F1333"/>
    <w:rsid w:val="000F16EB"/>
    <w:rsid w:val="000F274B"/>
    <w:rsid w:val="000F3CD7"/>
    <w:rsid w:val="000F4575"/>
    <w:rsid w:val="000F52DB"/>
    <w:rsid w:val="000F52FE"/>
    <w:rsid w:val="000F5CEF"/>
    <w:rsid w:val="000F5FB2"/>
    <w:rsid w:val="000F6D88"/>
    <w:rsid w:val="000F6DD7"/>
    <w:rsid w:val="000F71C6"/>
    <w:rsid w:val="001000A6"/>
    <w:rsid w:val="0010017C"/>
    <w:rsid w:val="0010171D"/>
    <w:rsid w:val="0010189C"/>
    <w:rsid w:val="00103137"/>
    <w:rsid w:val="0010389C"/>
    <w:rsid w:val="00103CD2"/>
    <w:rsid w:val="00104560"/>
    <w:rsid w:val="0010552E"/>
    <w:rsid w:val="001066B4"/>
    <w:rsid w:val="00106B6F"/>
    <w:rsid w:val="00110B56"/>
    <w:rsid w:val="00111189"/>
    <w:rsid w:val="0011262F"/>
    <w:rsid w:val="0011339D"/>
    <w:rsid w:val="00114534"/>
    <w:rsid w:val="0011699E"/>
    <w:rsid w:val="00117EAB"/>
    <w:rsid w:val="001207DE"/>
    <w:rsid w:val="0012145E"/>
    <w:rsid w:val="00121968"/>
    <w:rsid w:val="001223EF"/>
    <w:rsid w:val="00122C88"/>
    <w:rsid w:val="0012356D"/>
    <w:rsid w:val="001244F4"/>
    <w:rsid w:val="00124AA7"/>
    <w:rsid w:val="00124CB4"/>
    <w:rsid w:val="00126586"/>
    <w:rsid w:val="00127009"/>
    <w:rsid w:val="00131303"/>
    <w:rsid w:val="001324BD"/>
    <w:rsid w:val="0013308A"/>
    <w:rsid w:val="00133269"/>
    <w:rsid w:val="001359F2"/>
    <w:rsid w:val="00135BD5"/>
    <w:rsid w:val="0013729F"/>
    <w:rsid w:val="001421F6"/>
    <w:rsid w:val="00142A5D"/>
    <w:rsid w:val="00145172"/>
    <w:rsid w:val="001469AA"/>
    <w:rsid w:val="001477F9"/>
    <w:rsid w:val="00147A8E"/>
    <w:rsid w:val="001512E2"/>
    <w:rsid w:val="0015135C"/>
    <w:rsid w:val="00151465"/>
    <w:rsid w:val="00152541"/>
    <w:rsid w:val="00152613"/>
    <w:rsid w:val="00152709"/>
    <w:rsid w:val="00152D85"/>
    <w:rsid w:val="00153248"/>
    <w:rsid w:val="001546E5"/>
    <w:rsid w:val="00155601"/>
    <w:rsid w:val="0015593C"/>
    <w:rsid w:val="00156CFB"/>
    <w:rsid w:val="00157B00"/>
    <w:rsid w:val="00157FFB"/>
    <w:rsid w:val="001618FD"/>
    <w:rsid w:val="00163518"/>
    <w:rsid w:val="00163DFF"/>
    <w:rsid w:val="00164072"/>
    <w:rsid w:val="00164854"/>
    <w:rsid w:val="00164A5D"/>
    <w:rsid w:val="00164A72"/>
    <w:rsid w:val="00165116"/>
    <w:rsid w:val="00165332"/>
    <w:rsid w:val="00170C5B"/>
    <w:rsid w:val="0017131F"/>
    <w:rsid w:val="00171B11"/>
    <w:rsid w:val="00171D30"/>
    <w:rsid w:val="0017564D"/>
    <w:rsid w:val="00175B7B"/>
    <w:rsid w:val="00176BFF"/>
    <w:rsid w:val="00176D78"/>
    <w:rsid w:val="00181B76"/>
    <w:rsid w:val="00182B4A"/>
    <w:rsid w:val="0018368D"/>
    <w:rsid w:val="00183D1E"/>
    <w:rsid w:val="0018580B"/>
    <w:rsid w:val="001864B5"/>
    <w:rsid w:val="00186D05"/>
    <w:rsid w:val="0018722C"/>
    <w:rsid w:val="00190270"/>
    <w:rsid w:val="00191177"/>
    <w:rsid w:val="00192AD0"/>
    <w:rsid w:val="0019445B"/>
    <w:rsid w:val="001946CF"/>
    <w:rsid w:val="00194A12"/>
    <w:rsid w:val="00195790"/>
    <w:rsid w:val="00196214"/>
    <w:rsid w:val="00196728"/>
    <w:rsid w:val="0019679D"/>
    <w:rsid w:val="00196A55"/>
    <w:rsid w:val="00197067"/>
    <w:rsid w:val="00197625"/>
    <w:rsid w:val="001A041D"/>
    <w:rsid w:val="001A069F"/>
    <w:rsid w:val="001A1989"/>
    <w:rsid w:val="001A3E10"/>
    <w:rsid w:val="001A4D42"/>
    <w:rsid w:val="001A5FBA"/>
    <w:rsid w:val="001A67BD"/>
    <w:rsid w:val="001B0978"/>
    <w:rsid w:val="001B0E1A"/>
    <w:rsid w:val="001B1814"/>
    <w:rsid w:val="001B1BE4"/>
    <w:rsid w:val="001B260B"/>
    <w:rsid w:val="001B319C"/>
    <w:rsid w:val="001B36A2"/>
    <w:rsid w:val="001B3939"/>
    <w:rsid w:val="001B547E"/>
    <w:rsid w:val="001B59A8"/>
    <w:rsid w:val="001B76CF"/>
    <w:rsid w:val="001B77DE"/>
    <w:rsid w:val="001B7826"/>
    <w:rsid w:val="001C1CF6"/>
    <w:rsid w:val="001C21C7"/>
    <w:rsid w:val="001C3497"/>
    <w:rsid w:val="001C3E5E"/>
    <w:rsid w:val="001C4152"/>
    <w:rsid w:val="001C45E7"/>
    <w:rsid w:val="001C4D60"/>
    <w:rsid w:val="001C516A"/>
    <w:rsid w:val="001C5632"/>
    <w:rsid w:val="001C6741"/>
    <w:rsid w:val="001C6D0A"/>
    <w:rsid w:val="001C6E8D"/>
    <w:rsid w:val="001C72BF"/>
    <w:rsid w:val="001D07FD"/>
    <w:rsid w:val="001D103D"/>
    <w:rsid w:val="001D2A85"/>
    <w:rsid w:val="001D36D7"/>
    <w:rsid w:val="001D3B20"/>
    <w:rsid w:val="001D4792"/>
    <w:rsid w:val="001D47EB"/>
    <w:rsid w:val="001E07E2"/>
    <w:rsid w:val="001E09AA"/>
    <w:rsid w:val="001E1732"/>
    <w:rsid w:val="001E27D2"/>
    <w:rsid w:val="001E3433"/>
    <w:rsid w:val="001E444C"/>
    <w:rsid w:val="001E5696"/>
    <w:rsid w:val="001E6947"/>
    <w:rsid w:val="001E7019"/>
    <w:rsid w:val="001E7EF4"/>
    <w:rsid w:val="001F011A"/>
    <w:rsid w:val="001F09FA"/>
    <w:rsid w:val="001F10A8"/>
    <w:rsid w:val="001F1564"/>
    <w:rsid w:val="001F3CB5"/>
    <w:rsid w:val="001F427B"/>
    <w:rsid w:val="001F5141"/>
    <w:rsid w:val="001F5FFF"/>
    <w:rsid w:val="001F63B0"/>
    <w:rsid w:val="002001BF"/>
    <w:rsid w:val="00201455"/>
    <w:rsid w:val="0020217A"/>
    <w:rsid w:val="00203F57"/>
    <w:rsid w:val="00204958"/>
    <w:rsid w:val="00205593"/>
    <w:rsid w:val="00206A5B"/>
    <w:rsid w:val="00206E0B"/>
    <w:rsid w:val="00207121"/>
    <w:rsid w:val="0020771B"/>
    <w:rsid w:val="00210D17"/>
    <w:rsid w:val="002116EB"/>
    <w:rsid w:val="00211FEA"/>
    <w:rsid w:val="00212E64"/>
    <w:rsid w:val="002130F7"/>
    <w:rsid w:val="00213842"/>
    <w:rsid w:val="002139FF"/>
    <w:rsid w:val="002145FF"/>
    <w:rsid w:val="00214DB3"/>
    <w:rsid w:val="00215F5E"/>
    <w:rsid w:val="00216B91"/>
    <w:rsid w:val="00217143"/>
    <w:rsid w:val="00217331"/>
    <w:rsid w:val="00220CCC"/>
    <w:rsid w:val="002211AC"/>
    <w:rsid w:val="0022174A"/>
    <w:rsid w:val="00221ED3"/>
    <w:rsid w:val="00221F39"/>
    <w:rsid w:val="0022214F"/>
    <w:rsid w:val="0022276F"/>
    <w:rsid w:val="0022379A"/>
    <w:rsid w:val="00224DF1"/>
    <w:rsid w:val="00225668"/>
    <w:rsid w:val="00227389"/>
    <w:rsid w:val="00230CF5"/>
    <w:rsid w:val="002314DE"/>
    <w:rsid w:val="00231714"/>
    <w:rsid w:val="00233895"/>
    <w:rsid w:val="00234116"/>
    <w:rsid w:val="00234389"/>
    <w:rsid w:val="00234C0E"/>
    <w:rsid w:val="002354A3"/>
    <w:rsid w:val="00237020"/>
    <w:rsid w:val="0023748D"/>
    <w:rsid w:val="00237B25"/>
    <w:rsid w:val="00237FB0"/>
    <w:rsid w:val="00240368"/>
    <w:rsid w:val="00240500"/>
    <w:rsid w:val="002417C3"/>
    <w:rsid w:val="00241AB1"/>
    <w:rsid w:val="00241CA7"/>
    <w:rsid w:val="002422C3"/>
    <w:rsid w:val="0024282A"/>
    <w:rsid w:val="0024331C"/>
    <w:rsid w:val="0024348B"/>
    <w:rsid w:val="002435F7"/>
    <w:rsid w:val="0024362A"/>
    <w:rsid w:val="00244A37"/>
    <w:rsid w:val="00245272"/>
    <w:rsid w:val="00245649"/>
    <w:rsid w:val="00245AA8"/>
    <w:rsid w:val="00246C62"/>
    <w:rsid w:val="00250A74"/>
    <w:rsid w:val="00250B0B"/>
    <w:rsid w:val="00250D31"/>
    <w:rsid w:val="0025143E"/>
    <w:rsid w:val="0025249F"/>
    <w:rsid w:val="00252687"/>
    <w:rsid w:val="002531EE"/>
    <w:rsid w:val="00253C55"/>
    <w:rsid w:val="00254CD6"/>
    <w:rsid w:val="0025500D"/>
    <w:rsid w:val="0025608E"/>
    <w:rsid w:val="00256407"/>
    <w:rsid w:val="00256987"/>
    <w:rsid w:val="00260B9B"/>
    <w:rsid w:val="002634F4"/>
    <w:rsid w:val="00263559"/>
    <w:rsid w:val="0026365E"/>
    <w:rsid w:val="0026397C"/>
    <w:rsid w:val="00264C3C"/>
    <w:rsid w:val="00265E2D"/>
    <w:rsid w:val="002662AC"/>
    <w:rsid w:val="00266B98"/>
    <w:rsid w:val="00266BBD"/>
    <w:rsid w:val="0026737F"/>
    <w:rsid w:val="00270496"/>
    <w:rsid w:val="002710B7"/>
    <w:rsid w:val="00271541"/>
    <w:rsid w:val="0027230C"/>
    <w:rsid w:val="002724BD"/>
    <w:rsid w:val="002729AA"/>
    <w:rsid w:val="00272C26"/>
    <w:rsid w:val="002743C4"/>
    <w:rsid w:val="002745A2"/>
    <w:rsid w:val="00275210"/>
    <w:rsid w:val="00275396"/>
    <w:rsid w:val="00275AB8"/>
    <w:rsid w:val="00275B0E"/>
    <w:rsid w:val="00275DA4"/>
    <w:rsid w:val="0027603E"/>
    <w:rsid w:val="002763B6"/>
    <w:rsid w:val="00276AC8"/>
    <w:rsid w:val="002775A6"/>
    <w:rsid w:val="0028119A"/>
    <w:rsid w:val="00281D5E"/>
    <w:rsid w:val="00283F8E"/>
    <w:rsid w:val="00284A44"/>
    <w:rsid w:val="002862A5"/>
    <w:rsid w:val="00287343"/>
    <w:rsid w:val="0028792A"/>
    <w:rsid w:val="00290008"/>
    <w:rsid w:val="002900A6"/>
    <w:rsid w:val="00290B2C"/>
    <w:rsid w:val="002914EA"/>
    <w:rsid w:val="002922E2"/>
    <w:rsid w:val="0029258B"/>
    <w:rsid w:val="00292727"/>
    <w:rsid w:val="00292D07"/>
    <w:rsid w:val="00295B8C"/>
    <w:rsid w:val="00296518"/>
    <w:rsid w:val="002978F2"/>
    <w:rsid w:val="00297DB4"/>
    <w:rsid w:val="00297F17"/>
    <w:rsid w:val="002A1A47"/>
    <w:rsid w:val="002A1F3D"/>
    <w:rsid w:val="002A29EE"/>
    <w:rsid w:val="002A35A2"/>
    <w:rsid w:val="002A5256"/>
    <w:rsid w:val="002A5597"/>
    <w:rsid w:val="002A7C4A"/>
    <w:rsid w:val="002A7C64"/>
    <w:rsid w:val="002A7C89"/>
    <w:rsid w:val="002B2241"/>
    <w:rsid w:val="002B2570"/>
    <w:rsid w:val="002B3442"/>
    <w:rsid w:val="002B3CC5"/>
    <w:rsid w:val="002B508F"/>
    <w:rsid w:val="002B6A0B"/>
    <w:rsid w:val="002B7273"/>
    <w:rsid w:val="002C0053"/>
    <w:rsid w:val="002C00E5"/>
    <w:rsid w:val="002C3604"/>
    <w:rsid w:val="002C3D86"/>
    <w:rsid w:val="002C4E4B"/>
    <w:rsid w:val="002C720A"/>
    <w:rsid w:val="002C73F1"/>
    <w:rsid w:val="002C78EA"/>
    <w:rsid w:val="002C79C7"/>
    <w:rsid w:val="002C7F3A"/>
    <w:rsid w:val="002D110A"/>
    <w:rsid w:val="002D12C0"/>
    <w:rsid w:val="002D18A3"/>
    <w:rsid w:val="002D2434"/>
    <w:rsid w:val="002D2753"/>
    <w:rsid w:val="002D35C1"/>
    <w:rsid w:val="002D46B3"/>
    <w:rsid w:val="002D4969"/>
    <w:rsid w:val="002D4FAC"/>
    <w:rsid w:val="002D4FB0"/>
    <w:rsid w:val="002D6151"/>
    <w:rsid w:val="002D627C"/>
    <w:rsid w:val="002D6D10"/>
    <w:rsid w:val="002E0187"/>
    <w:rsid w:val="002E0EFD"/>
    <w:rsid w:val="002E1732"/>
    <w:rsid w:val="002E260A"/>
    <w:rsid w:val="002E2D7B"/>
    <w:rsid w:val="002E3358"/>
    <w:rsid w:val="002E6031"/>
    <w:rsid w:val="002E69FB"/>
    <w:rsid w:val="002E71A8"/>
    <w:rsid w:val="002F0109"/>
    <w:rsid w:val="002F068F"/>
    <w:rsid w:val="002F0791"/>
    <w:rsid w:val="002F3393"/>
    <w:rsid w:val="002F4137"/>
    <w:rsid w:val="002F496B"/>
    <w:rsid w:val="002F5C34"/>
    <w:rsid w:val="002F61B9"/>
    <w:rsid w:val="002F6F2F"/>
    <w:rsid w:val="003007A4"/>
    <w:rsid w:val="003019A5"/>
    <w:rsid w:val="00301A24"/>
    <w:rsid w:val="00305EC2"/>
    <w:rsid w:val="00306FD8"/>
    <w:rsid w:val="0030719C"/>
    <w:rsid w:val="00307366"/>
    <w:rsid w:val="00307A5C"/>
    <w:rsid w:val="00307C95"/>
    <w:rsid w:val="003127E3"/>
    <w:rsid w:val="00312DB3"/>
    <w:rsid w:val="003132D2"/>
    <w:rsid w:val="00314242"/>
    <w:rsid w:val="00314851"/>
    <w:rsid w:val="00315A8D"/>
    <w:rsid w:val="003162EE"/>
    <w:rsid w:val="00316E9E"/>
    <w:rsid w:val="0031759E"/>
    <w:rsid w:val="00317CD3"/>
    <w:rsid w:val="00320AB1"/>
    <w:rsid w:val="00321282"/>
    <w:rsid w:val="00321BD2"/>
    <w:rsid w:val="0032261C"/>
    <w:rsid w:val="003229F9"/>
    <w:rsid w:val="003233D3"/>
    <w:rsid w:val="0032462B"/>
    <w:rsid w:val="00324B76"/>
    <w:rsid w:val="00326BD4"/>
    <w:rsid w:val="00330A19"/>
    <w:rsid w:val="003311F2"/>
    <w:rsid w:val="0033295D"/>
    <w:rsid w:val="003357C3"/>
    <w:rsid w:val="00335936"/>
    <w:rsid w:val="00336EBB"/>
    <w:rsid w:val="003371D8"/>
    <w:rsid w:val="00343A77"/>
    <w:rsid w:val="00343DFB"/>
    <w:rsid w:val="00343F6C"/>
    <w:rsid w:val="003506B7"/>
    <w:rsid w:val="003518EB"/>
    <w:rsid w:val="00352FD0"/>
    <w:rsid w:val="00353C1E"/>
    <w:rsid w:val="00353FA7"/>
    <w:rsid w:val="00356EFF"/>
    <w:rsid w:val="00357483"/>
    <w:rsid w:val="0036037C"/>
    <w:rsid w:val="0036127F"/>
    <w:rsid w:val="00363979"/>
    <w:rsid w:val="00363D19"/>
    <w:rsid w:val="003642AB"/>
    <w:rsid w:val="00365845"/>
    <w:rsid w:val="00366F31"/>
    <w:rsid w:val="003677C6"/>
    <w:rsid w:val="00370580"/>
    <w:rsid w:val="003706C7"/>
    <w:rsid w:val="0037092C"/>
    <w:rsid w:val="0037118D"/>
    <w:rsid w:val="0037157C"/>
    <w:rsid w:val="003768E9"/>
    <w:rsid w:val="00377006"/>
    <w:rsid w:val="00377BA7"/>
    <w:rsid w:val="00380FCD"/>
    <w:rsid w:val="00383C6F"/>
    <w:rsid w:val="00383ED8"/>
    <w:rsid w:val="00385562"/>
    <w:rsid w:val="00385CE8"/>
    <w:rsid w:val="00386225"/>
    <w:rsid w:val="003862F1"/>
    <w:rsid w:val="0038665F"/>
    <w:rsid w:val="00390DA0"/>
    <w:rsid w:val="00391A28"/>
    <w:rsid w:val="003937FC"/>
    <w:rsid w:val="0039444C"/>
    <w:rsid w:val="00395614"/>
    <w:rsid w:val="00395B75"/>
    <w:rsid w:val="00395FB2"/>
    <w:rsid w:val="003A0065"/>
    <w:rsid w:val="003A1660"/>
    <w:rsid w:val="003A1C7A"/>
    <w:rsid w:val="003A1DE6"/>
    <w:rsid w:val="003A23FD"/>
    <w:rsid w:val="003A29C3"/>
    <w:rsid w:val="003A2B8D"/>
    <w:rsid w:val="003A3816"/>
    <w:rsid w:val="003A4730"/>
    <w:rsid w:val="003A5C53"/>
    <w:rsid w:val="003A6A38"/>
    <w:rsid w:val="003A71B6"/>
    <w:rsid w:val="003A75BE"/>
    <w:rsid w:val="003B1C53"/>
    <w:rsid w:val="003B403F"/>
    <w:rsid w:val="003B4FC9"/>
    <w:rsid w:val="003B5165"/>
    <w:rsid w:val="003B566B"/>
    <w:rsid w:val="003B68AA"/>
    <w:rsid w:val="003B6A7B"/>
    <w:rsid w:val="003C1D2D"/>
    <w:rsid w:val="003C2CFB"/>
    <w:rsid w:val="003C37D9"/>
    <w:rsid w:val="003C4388"/>
    <w:rsid w:val="003C496E"/>
    <w:rsid w:val="003C4FE0"/>
    <w:rsid w:val="003C5A9B"/>
    <w:rsid w:val="003C6210"/>
    <w:rsid w:val="003C6348"/>
    <w:rsid w:val="003C65C7"/>
    <w:rsid w:val="003D00CA"/>
    <w:rsid w:val="003D16B6"/>
    <w:rsid w:val="003D2219"/>
    <w:rsid w:val="003D2571"/>
    <w:rsid w:val="003D282E"/>
    <w:rsid w:val="003D34FE"/>
    <w:rsid w:val="003D48DA"/>
    <w:rsid w:val="003D6AA4"/>
    <w:rsid w:val="003D6F54"/>
    <w:rsid w:val="003D720C"/>
    <w:rsid w:val="003E02D3"/>
    <w:rsid w:val="003E095F"/>
    <w:rsid w:val="003E0E35"/>
    <w:rsid w:val="003E181C"/>
    <w:rsid w:val="003E4573"/>
    <w:rsid w:val="003E5D12"/>
    <w:rsid w:val="003E6829"/>
    <w:rsid w:val="003E6C7F"/>
    <w:rsid w:val="003E6CFF"/>
    <w:rsid w:val="003E7E1A"/>
    <w:rsid w:val="003F017A"/>
    <w:rsid w:val="003F1F5A"/>
    <w:rsid w:val="003F347D"/>
    <w:rsid w:val="003F3636"/>
    <w:rsid w:val="003F3F15"/>
    <w:rsid w:val="003F677A"/>
    <w:rsid w:val="003F6CCD"/>
    <w:rsid w:val="003F71A0"/>
    <w:rsid w:val="00400493"/>
    <w:rsid w:val="004004EE"/>
    <w:rsid w:val="0040083C"/>
    <w:rsid w:val="00403143"/>
    <w:rsid w:val="004035F3"/>
    <w:rsid w:val="0040361F"/>
    <w:rsid w:val="004038AB"/>
    <w:rsid w:val="00406F2C"/>
    <w:rsid w:val="0041053A"/>
    <w:rsid w:val="004106B4"/>
    <w:rsid w:val="00411F2C"/>
    <w:rsid w:val="0041214E"/>
    <w:rsid w:val="004122AA"/>
    <w:rsid w:val="00412B0D"/>
    <w:rsid w:val="00412DFD"/>
    <w:rsid w:val="00412FEA"/>
    <w:rsid w:val="004141BC"/>
    <w:rsid w:val="00420429"/>
    <w:rsid w:val="00420F0F"/>
    <w:rsid w:val="0042172C"/>
    <w:rsid w:val="00421A33"/>
    <w:rsid w:val="00422B9F"/>
    <w:rsid w:val="00422EDE"/>
    <w:rsid w:val="00423980"/>
    <w:rsid w:val="00424A1B"/>
    <w:rsid w:val="00426496"/>
    <w:rsid w:val="004266F9"/>
    <w:rsid w:val="00426CB6"/>
    <w:rsid w:val="004305FC"/>
    <w:rsid w:val="00431856"/>
    <w:rsid w:val="00432C90"/>
    <w:rsid w:val="004347EA"/>
    <w:rsid w:val="0043490F"/>
    <w:rsid w:val="00434DA9"/>
    <w:rsid w:val="00435B85"/>
    <w:rsid w:val="00436650"/>
    <w:rsid w:val="0043698E"/>
    <w:rsid w:val="00437FE0"/>
    <w:rsid w:val="00440DBC"/>
    <w:rsid w:val="00441BF5"/>
    <w:rsid w:val="00441F0B"/>
    <w:rsid w:val="00442AAF"/>
    <w:rsid w:val="00444803"/>
    <w:rsid w:val="00444C5F"/>
    <w:rsid w:val="004454B4"/>
    <w:rsid w:val="004457AB"/>
    <w:rsid w:val="004464BE"/>
    <w:rsid w:val="004470FA"/>
    <w:rsid w:val="00447841"/>
    <w:rsid w:val="00447B04"/>
    <w:rsid w:val="00452CAD"/>
    <w:rsid w:val="00456338"/>
    <w:rsid w:val="004568F3"/>
    <w:rsid w:val="00457B88"/>
    <w:rsid w:val="00457FE4"/>
    <w:rsid w:val="00460A74"/>
    <w:rsid w:val="00460C0A"/>
    <w:rsid w:val="00461394"/>
    <w:rsid w:val="00462820"/>
    <w:rsid w:val="004656FB"/>
    <w:rsid w:val="00466A5F"/>
    <w:rsid w:val="00472FD1"/>
    <w:rsid w:val="00473F85"/>
    <w:rsid w:val="00475C1B"/>
    <w:rsid w:val="004809A2"/>
    <w:rsid w:val="00480A6D"/>
    <w:rsid w:val="00480F0A"/>
    <w:rsid w:val="004816A9"/>
    <w:rsid w:val="0048346E"/>
    <w:rsid w:val="00483BDA"/>
    <w:rsid w:val="00484BAA"/>
    <w:rsid w:val="00484C6E"/>
    <w:rsid w:val="00484D34"/>
    <w:rsid w:val="004853D9"/>
    <w:rsid w:val="004869C6"/>
    <w:rsid w:val="0048747B"/>
    <w:rsid w:val="00487805"/>
    <w:rsid w:val="00487D0A"/>
    <w:rsid w:val="00487DEE"/>
    <w:rsid w:val="0049025F"/>
    <w:rsid w:val="004905B9"/>
    <w:rsid w:val="00490898"/>
    <w:rsid w:val="00491324"/>
    <w:rsid w:val="00491618"/>
    <w:rsid w:val="0049166C"/>
    <w:rsid w:val="0049315B"/>
    <w:rsid w:val="00493BE7"/>
    <w:rsid w:val="004941C7"/>
    <w:rsid w:val="004944B0"/>
    <w:rsid w:val="00494757"/>
    <w:rsid w:val="00495372"/>
    <w:rsid w:val="00495432"/>
    <w:rsid w:val="00497D9D"/>
    <w:rsid w:val="004A0218"/>
    <w:rsid w:val="004A0B57"/>
    <w:rsid w:val="004A0BAF"/>
    <w:rsid w:val="004A1855"/>
    <w:rsid w:val="004A1ADD"/>
    <w:rsid w:val="004A24CA"/>
    <w:rsid w:val="004A4AE1"/>
    <w:rsid w:val="004A4D2D"/>
    <w:rsid w:val="004A7C32"/>
    <w:rsid w:val="004A7F83"/>
    <w:rsid w:val="004B497A"/>
    <w:rsid w:val="004B520B"/>
    <w:rsid w:val="004B5780"/>
    <w:rsid w:val="004B62C5"/>
    <w:rsid w:val="004B6EB0"/>
    <w:rsid w:val="004C152C"/>
    <w:rsid w:val="004C1C7C"/>
    <w:rsid w:val="004C34A2"/>
    <w:rsid w:val="004C3B15"/>
    <w:rsid w:val="004C5421"/>
    <w:rsid w:val="004C608B"/>
    <w:rsid w:val="004C6321"/>
    <w:rsid w:val="004C646D"/>
    <w:rsid w:val="004C6508"/>
    <w:rsid w:val="004D0160"/>
    <w:rsid w:val="004D0266"/>
    <w:rsid w:val="004D06E1"/>
    <w:rsid w:val="004D13DC"/>
    <w:rsid w:val="004D26C1"/>
    <w:rsid w:val="004D392B"/>
    <w:rsid w:val="004D4164"/>
    <w:rsid w:val="004D6A6C"/>
    <w:rsid w:val="004D7377"/>
    <w:rsid w:val="004D75C0"/>
    <w:rsid w:val="004D7F0C"/>
    <w:rsid w:val="004E0DF1"/>
    <w:rsid w:val="004E1E84"/>
    <w:rsid w:val="004E1F70"/>
    <w:rsid w:val="004E2A5A"/>
    <w:rsid w:val="004E2D34"/>
    <w:rsid w:val="004E307E"/>
    <w:rsid w:val="004E3189"/>
    <w:rsid w:val="004E4816"/>
    <w:rsid w:val="004E57CE"/>
    <w:rsid w:val="004E64EF"/>
    <w:rsid w:val="004E6661"/>
    <w:rsid w:val="004E735A"/>
    <w:rsid w:val="004F12F4"/>
    <w:rsid w:val="004F14B0"/>
    <w:rsid w:val="004F184E"/>
    <w:rsid w:val="004F2115"/>
    <w:rsid w:val="004F3D95"/>
    <w:rsid w:val="004F46FF"/>
    <w:rsid w:val="004F52AC"/>
    <w:rsid w:val="004F7C74"/>
    <w:rsid w:val="00504535"/>
    <w:rsid w:val="00504867"/>
    <w:rsid w:val="00506148"/>
    <w:rsid w:val="00506179"/>
    <w:rsid w:val="00506494"/>
    <w:rsid w:val="00506704"/>
    <w:rsid w:val="00506BBF"/>
    <w:rsid w:val="00507FED"/>
    <w:rsid w:val="005129D9"/>
    <w:rsid w:val="00512BC7"/>
    <w:rsid w:val="0051345A"/>
    <w:rsid w:val="005167CB"/>
    <w:rsid w:val="00523A60"/>
    <w:rsid w:val="0052456B"/>
    <w:rsid w:val="00524C71"/>
    <w:rsid w:val="00525963"/>
    <w:rsid w:val="00527F20"/>
    <w:rsid w:val="005303EF"/>
    <w:rsid w:val="00531BEE"/>
    <w:rsid w:val="00532E65"/>
    <w:rsid w:val="00534000"/>
    <w:rsid w:val="00534BA4"/>
    <w:rsid w:val="00534EDB"/>
    <w:rsid w:val="005353AA"/>
    <w:rsid w:val="00540013"/>
    <w:rsid w:val="00542638"/>
    <w:rsid w:val="00543305"/>
    <w:rsid w:val="005442B9"/>
    <w:rsid w:val="0054449C"/>
    <w:rsid w:val="00546665"/>
    <w:rsid w:val="0054773B"/>
    <w:rsid w:val="00550E51"/>
    <w:rsid w:val="005522F1"/>
    <w:rsid w:val="0055247C"/>
    <w:rsid w:val="0055248B"/>
    <w:rsid w:val="00552ED1"/>
    <w:rsid w:val="00553200"/>
    <w:rsid w:val="00554CC9"/>
    <w:rsid w:val="00554E05"/>
    <w:rsid w:val="005557A8"/>
    <w:rsid w:val="00555916"/>
    <w:rsid w:val="005562F1"/>
    <w:rsid w:val="00556332"/>
    <w:rsid w:val="0055649D"/>
    <w:rsid w:val="00557B84"/>
    <w:rsid w:val="00557F0A"/>
    <w:rsid w:val="00561C65"/>
    <w:rsid w:val="0056231D"/>
    <w:rsid w:val="0056272D"/>
    <w:rsid w:val="00563121"/>
    <w:rsid w:val="0056454E"/>
    <w:rsid w:val="005649A1"/>
    <w:rsid w:val="005663C3"/>
    <w:rsid w:val="00567DDC"/>
    <w:rsid w:val="005713E3"/>
    <w:rsid w:val="005728E3"/>
    <w:rsid w:val="005749A3"/>
    <w:rsid w:val="00576C02"/>
    <w:rsid w:val="00576C0C"/>
    <w:rsid w:val="00577A9E"/>
    <w:rsid w:val="00580A9E"/>
    <w:rsid w:val="005811C4"/>
    <w:rsid w:val="00583E29"/>
    <w:rsid w:val="00584D60"/>
    <w:rsid w:val="00585605"/>
    <w:rsid w:val="00585AA0"/>
    <w:rsid w:val="00585D95"/>
    <w:rsid w:val="00585E03"/>
    <w:rsid w:val="00585F84"/>
    <w:rsid w:val="005861B1"/>
    <w:rsid w:val="005866B8"/>
    <w:rsid w:val="00586756"/>
    <w:rsid w:val="0059097D"/>
    <w:rsid w:val="00594573"/>
    <w:rsid w:val="00594888"/>
    <w:rsid w:val="005950BF"/>
    <w:rsid w:val="00595475"/>
    <w:rsid w:val="00595895"/>
    <w:rsid w:val="00595902"/>
    <w:rsid w:val="00595E3E"/>
    <w:rsid w:val="00595F4D"/>
    <w:rsid w:val="00595FB4"/>
    <w:rsid w:val="00597988"/>
    <w:rsid w:val="005A0A2D"/>
    <w:rsid w:val="005A1506"/>
    <w:rsid w:val="005A1A8D"/>
    <w:rsid w:val="005A1B93"/>
    <w:rsid w:val="005A1E2E"/>
    <w:rsid w:val="005A2DCB"/>
    <w:rsid w:val="005A46E5"/>
    <w:rsid w:val="005A609B"/>
    <w:rsid w:val="005A68ED"/>
    <w:rsid w:val="005A6C66"/>
    <w:rsid w:val="005A7BDC"/>
    <w:rsid w:val="005B0825"/>
    <w:rsid w:val="005B157D"/>
    <w:rsid w:val="005B2183"/>
    <w:rsid w:val="005B29C6"/>
    <w:rsid w:val="005B2D6B"/>
    <w:rsid w:val="005B374E"/>
    <w:rsid w:val="005B4482"/>
    <w:rsid w:val="005B4DB7"/>
    <w:rsid w:val="005B6228"/>
    <w:rsid w:val="005B6EB9"/>
    <w:rsid w:val="005B7DDC"/>
    <w:rsid w:val="005B7F2F"/>
    <w:rsid w:val="005C11CA"/>
    <w:rsid w:val="005C14B8"/>
    <w:rsid w:val="005C159C"/>
    <w:rsid w:val="005C1651"/>
    <w:rsid w:val="005C3F84"/>
    <w:rsid w:val="005C428F"/>
    <w:rsid w:val="005C54DC"/>
    <w:rsid w:val="005C6945"/>
    <w:rsid w:val="005C7090"/>
    <w:rsid w:val="005D08A8"/>
    <w:rsid w:val="005D323B"/>
    <w:rsid w:val="005D34D4"/>
    <w:rsid w:val="005D35B0"/>
    <w:rsid w:val="005D37DE"/>
    <w:rsid w:val="005D477A"/>
    <w:rsid w:val="005D47B0"/>
    <w:rsid w:val="005D4B4A"/>
    <w:rsid w:val="005D5C99"/>
    <w:rsid w:val="005D6137"/>
    <w:rsid w:val="005D698B"/>
    <w:rsid w:val="005D7797"/>
    <w:rsid w:val="005E0A35"/>
    <w:rsid w:val="005E221D"/>
    <w:rsid w:val="005E2E0E"/>
    <w:rsid w:val="005E446D"/>
    <w:rsid w:val="005E5955"/>
    <w:rsid w:val="005E7111"/>
    <w:rsid w:val="005E7F0C"/>
    <w:rsid w:val="005F066C"/>
    <w:rsid w:val="005F0D4E"/>
    <w:rsid w:val="005F26E3"/>
    <w:rsid w:val="005F5864"/>
    <w:rsid w:val="005F6A36"/>
    <w:rsid w:val="0060024A"/>
    <w:rsid w:val="00600676"/>
    <w:rsid w:val="00602718"/>
    <w:rsid w:val="00602CE0"/>
    <w:rsid w:val="006035AB"/>
    <w:rsid w:val="0060720E"/>
    <w:rsid w:val="00607FD8"/>
    <w:rsid w:val="0061048E"/>
    <w:rsid w:val="006112E9"/>
    <w:rsid w:val="006124BC"/>
    <w:rsid w:val="00612B4C"/>
    <w:rsid w:val="006134FC"/>
    <w:rsid w:val="006138FF"/>
    <w:rsid w:val="0061470C"/>
    <w:rsid w:val="0061505F"/>
    <w:rsid w:val="00615223"/>
    <w:rsid w:val="0061668F"/>
    <w:rsid w:val="0061751B"/>
    <w:rsid w:val="00617CBA"/>
    <w:rsid w:val="0062080D"/>
    <w:rsid w:val="00620882"/>
    <w:rsid w:val="0062297D"/>
    <w:rsid w:val="00622F0C"/>
    <w:rsid w:val="006233A3"/>
    <w:rsid w:val="00623579"/>
    <w:rsid w:val="006251CD"/>
    <w:rsid w:val="00626623"/>
    <w:rsid w:val="00627D1D"/>
    <w:rsid w:val="0063018F"/>
    <w:rsid w:val="006338FE"/>
    <w:rsid w:val="00634604"/>
    <w:rsid w:val="00634AEC"/>
    <w:rsid w:val="00634FBC"/>
    <w:rsid w:val="00635EDB"/>
    <w:rsid w:val="006372AE"/>
    <w:rsid w:val="00637F41"/>
    <w:rsid w:val="00640044"/>
    <w:rsid w:val="00640951"/>
    <w:rsid w:val="00640BAE"/>
    <w:rsid w:val="00640C47"/>
    <w:rsid w:val="00641977"/>
    <w:rsid w:val="00642CA6"/>
    <w:rsid w:val="00643666"/>
    <w:rsid w:val="00644182"/>
    <w:rsid w:val="00644D27"/>
    <w:rsid w:val="00645AF5"/>
    <w:rsid w:val="00645BAB"/>
    <w:rsid w:val="00645D96"/>
    <w:rsid w:val="00645F5C"/>
    <w:rsid w:val="00646373"/>
    <w:rsid w:val="006511F7"/>
    <w:rsid w:val="006519E0"/>
    <w:rsid w:val="00652C5D"/>
    <w:rsid w:val="0065494F"/>
    <w:rsid w:val="00654B14"/>
    <w:rsid w:val="00655495"/>
    <w:rsid w:val="0065589F"/>
    <w:rsid w:val="00655F4D"/>
    <w:rsid w:val="00656011"/>
    <w:rsid w:val="006608C0"/>
    <w:rsid w:val="00661365"/>
    <w:rsid w:val="00661B33"/>
    <w:rsid w:val="0066210E"/>
    <w:rsid w:val="006624D5"/>
    <w:rsid w:val="00662EC6"/>
    <w:rsid w:val="0066730B"/>
    <w:rsid w:val="00667415"/>
    <w:rsid w:val="006720FD"/>
    <w:rsid w:val="006721D9"/>
    <w:rsid w:val="006734EE"/>
    <w:rsid w:val="006740E6"/>
    <w:rsid w:val="00674687"/>
    <w:rsid w:val="00675856"/>
    <w:rsid w:val="00676B87"/>
    <w:rsid w:val="006774EB"/>
    <w:rsid w:val="00677EE0"/>
    <w:rsid w:val="0068058A"/>
    <w:rsid w:val="006807D0"/>
    <w:rsid w:val="00680DFB"/>
    <w:rsid w:val="00682587"/>
    <w:rsid w:val="006827B4"/>
    <w:rsid w:val="00683EFD"/>
    <w:rsid w:val="0068456E"/>
    <w:rsid w:val="006858B2"/>
    <w:rsid w:val="006867E2"/>
    <w:rsid w:val="00690021"/>
    <w:rsid w:val="00690B2A"/>
    <w:rsid w:val="00690F4C"/>
    <w:rsid w:val="006910C8"/>
    <w:rsid w:val="006922E0"/>
    <w:rsid w:val="00692504"/>
    <w:rsid w:val="0069250B"/>
    <w:rsid w:val="00692752"/>
    <w:rsid w:val="00692792"/>
    <w:rsid w:val="00692877"/>
    <w:rsid w:val="00692944"/>
    <w:rsid w:val="006929E9"/>
    <w:rsid w:val="00693373"/>
    <w:rsid w:val="00693711"/>
    <w:rsid w:val="006937DB"/>
    <w:rsid w:val="00693FA4"/>
    <w:rsid w:val="00694501"/>
    <w:rsid w:val="00694ACC"/>
    <w:rsid w:val="0069541E"/>
    <w:rsid w:val="006957A8"/>
    <w:rsid w:val="006959DD"/>
    <w:rsid w:val="006973BA"/>
    <w:rsid w:val="006A0287"/>
    <w:rsid w:val="006A11F5"/>
    <w:rsid w:val="006A1C58"/>
    <w:rsid w:val="006A1C7F"/>
    <w:rsid w:val="006A2BF7"/>
    <w:rsid w:val="006A502F"/>
    <w:rsid w:val="006A781D"/>
    <w:rsid w:val="006A7864"/>
    <w:rsid w:val="006A7AB6"/>
    <w:rsid w:val="006A7E4E"/>
    <w:rsid w:val="006B086C"/>
    <w:rsid w:val="006B10A2"/>
    <w:rsid w:val="006B2A36"/>
    <w:rsid w:val="006B4865"/>
    <w:rsid w:val="006B540E"/>
    <w:rsid w:val="006B5921"/>
    <w:rsid w:val="006B5B56"/>
    <w:rsid w:val="006B7257"/>
    <w:rsid w:val="006B74F4"/>
    <w:rsid w:val="006B7944"/>
    <w:rsid w:val="006C10BC"/>
    <w:rsid w:val="006C1264"/>
    <w:rsid w:val="006C31F3"/>
    <w:rsid w:val="006C374A"/>
    <w:rsid w:val="006C4104"/>
    <w:rsid w:val="006C596B"/>
    <w:rsid w:val="006C5DD5"/>
    <w:rsid w:val="006C655E"/>
    <w:rsid w:val="006C71C6"/>
    <w:rsid w:val="006C7C0D"/>
    <w:rsid w:val="006C7D62"/>
    <w:rsid w:val="006D3303"/>
    <w:rsid w:val="006D3422"/>
    <w:rsid w:val="006D39B9"/>
    <w:rsid w:val="006D5D9B"/>
    <w:rsid w:val="006D6BD1"/>
    <w:rsid w:val="006D6DD1"/>
    <w:rsid w:val="006D7D49"/>
    <w:rsid w:val="006E007F"/>
    <w:rsid w:val="006E1272"/>
    <w:rsid w:val="006E12D1"/>
    <w:rsid w:val="006E1442"/>
    <w:rsid w:val="006E1A65"/>
    <w:rsid w:val="006E2F2A"/>
    <w:rsid w:val="006E3864"/>
    <w:rsid w:val="006E443D"/>
    <w:rsid w:val="006E5714"/>
    <w:rsid w:val="006E58AA"/>
    <w:rsid w:val="006E6E31"/>
    <w:rsid w:val="006E7C18"/>
    <w:rsid w:val="006F0230"/>
    <w:rsid w:val="006F0469"/>
    <w:rsid w:val="006F158B"/>
    <w:rsid w:val="006F1F48"/>
    <w:rsid w:val="006F265E"/>
    <w:rsid w:val="006F2C20"/>
    <w:rsid w:val="006F34BB"/>
    <w:rsid w:val="006F5100"/>
    <w:rsid w:val="006F61D1"/>
    <w:rsid w:val="006F62EB"/>
    <w:rsid w:val="006F75F3"/>
    <w:rsid w:val="006F7D01"/>
    <w:rsid w:val="007003CF"/>
    <w:rsid w:val="00700DAE"/>
    <w:rsid w:val="00701084"/>
    <w:rsid w:val="00701A83"/>
    <w:rsid w:val="00701B26"/>
    <w:rsid w:val="00702575"/>
    <w:rsid w:val="0070261A"/>
    <w:rsid w:val="00703498"/>
    <w:rsid w:val="007034CD"/>
    <w:rsid w:val="00703798"/>
    <w:rsid w:val="00703A84"/>
    <w:rsid w:val="00703F63"/>
    <w:rsid w:val="00705838"/>
    <w:rsid w:val="0070690C"/>
    <w:rsid w:val="0070694E"/>
    <w:rsid w:val="00706BE0"/>
    <w:rsid w:val="0070777E"/>
    <w:rsid w:val="00710616"/>
    <w:rsid w:val="00710A27"/>
    <w:rsid w:val="00710CEC"/>
    <w:rsid w:val="007118DA"/>
    <w:rsid w:val="0071291E"/>
    <w:rsid w:val="00712E1C"/>
    <w:rsid w:val="0071600C"/>
    <w:rsid w:val="007164DC"/>
    <w:rsid w:val="007165A0"/>
    <w:rsid w:val="0071761E"/>
    <w:rsid w:val="00717673"/>
    <w:rsid w:val="007206FF"/>
    <w:rsid w:val="0072231D"/>
    <w:rsid w:val="00722BB2"/>
    <w:rsid w:val="00723835"/>
    <w:rsid w:val="00724334"/>
    <w:rsid w:val="0072583B"/>
    <w:rsid w:val="007259CC"/>
    <w:rsid w:val="0072746B"/>
    <w:rsid w:val="007302F2"/>
    <w:rsid w:val="007308AA"/>
    <w:rsid w:val="00730BC4"/>
    <w:rsid w:val="007317F5"/>
    <w:rsid w:val="00731B50"/>
    <w:rsid w:val="00733050"/>
    <w:rsid w:val="00733A9F"/>
    <w:rsid w:val="00733AB8"/>
    <w:rsid w:val="007343F1"/>
    <w:rsid w:val="00735058"/>
    <w:rsid w:val="007355B1"/>
    <w:rsid w:val="00735973"/>
    <w:rsid w:val="007359BB"/>
    <w:rsid w:val="00735C85"/>
    <w:rsid w:val="00737BF7"/>
    <w:rsid w:val="00741A1E"/>
    <w:rsid w:val="007422F6"/>
    <w:rsid w:val="00742416"/>
    <w:rsid w:val="00742CD4"/>
    <w:rsid w:val="00743062"/>
    <w:rsid w:val="00743140"/>
    <w:rsid w:val="0074584F"/>
    <w:rsid w:val="00745D38"/>
    <w:rsid w:val="00746CAB"/>
    <w:rsid w:val="00746F5C"/>
    <w:rsid w:val="00747A3B"/>
    <w:rsid w:val="007502DE"/>
    <w:rsid w:val="007509BE"/>
    <w:rsid w:val="00754905"/>
    <w:rsid w:val="007601DE"/>
    <w:rsid w:val="00763B58"/>
    <w:rsid w:val="00763FE9"/>
    <w:rsid w:val="007641F5"/>
    <w:rsid w:val="00765E2C"/>
    <w:rsid w:val="00765E5E"/>
    <w:rsid w:val="00765FE4"/>
    <w:rsid w:val="00766CE4"/>
    <w:rsid w:val="00766CFC"/>
    <w:rsid w:val="007700A3"/>
    <w:rsid w:val="007700C4"/>
    <w:rsid w:val="00770E50"/>
    <w:rsid w:val="00772E57"/>
    <w:rsid w:val="00773589"/>
    <w:rsid w:val="00773F6E"/>
    <w:rsid w:val="00774933"/>
    <w:rsid w:val="007755BA"/>
    <w:rsid w:val="0077640A"/>
    <w:rsid w:val="00776BC6"/>
    <w:rsid w:val="00777B97"/>
    <w:rsid w:val="00781A61"/>
    <w:rsid w:val="007821BC"/>
    <w:rsid w:val="007822A5"/>
    <w:rsid w:val="00783165"/>
    <w:rsid w:val="00783BF6"/>
    <w:rsid w:val="00785102"/>
    <w:rsid w:val="00785DBD"/>
    <w:rsid w:val="007861DF"/>
    <w:rsid w:val="00787A5E"/>
    <w:rsid w:val="00790C74"/>
    <w:rsid w:val="00790D82"/>
    <w:rsid w:val="0079156B"/>
    <w:rsid w:val="00792CCB"/>
    <w:rsid w:val="00792E71"/>
    <w:rsid w:val="00793B4A"/>
    <w:rsid w:val="00793B7A"/>
    <w:rsid w:val="00794243"/>
    <w:rsid w:val="007943A5"/>
    <w:rsid w:val="007948A7"/>
    <w:rsid w:val="00794A4C"/>
    <w:rsid w:val="007954F4"/>
    <w:rsid w:val="007964F5"/>
    <w:rsid w:val="007A0539"/>
    <w:rsid w:val="007A0EFD"/>
    <w:rsid w:val="007A1CDE"/>
    <w:rsid w:val="007A1E56"/>
    <w:rsid w:val="007A2361"/>
    <w:rsid w:val="007A3F51"/>
    <w:rsid w:val="007A48B7"/>
    <w:rsid w:val="007A4A19"/>
    <w:rsid w:val="007A4D70"/>
    <w:rsid w:val="007A58CC"/>
    <w:rsid w:val="007A5960"/>
    <w:rsid w:val="007A6752"/>
    <w:rsid w:val="007A6CAC"/>
    <w:rsid w:val="007A7B72"/>
    <w:rsid w:val="007A7DD9"/>
    <w:rsid w:val="007B07C1"/>
    <w:rsid w:val="007B090F"/>
    <w:rsid w:val="007B12C6"/>
    <w:rsid w:val="007B4AD7"/>
    <w:rsid w:val="007B4CD5"/>
    <w:rsid w:val="007B5628"/>
    <w:rsid w:val="007C0A4C"/>
    <w:rsid w:val="007C1EB3"/>
    <w:rsid w:val="007C2036"/>
    <w:rsid w:val="007C2343"/>
    <w:rsid w:val="007C29F9"/>
    <w:rsid w:val="007C5426"/>
    <w:rsid w:val="007C5974"/>
    <w:rsid w:val="007C5AF5"/>
    <w:rsid w:val="007C5D2E"/>
    <w:rsid w:val="007C61F1"/>
    <w:rsid w:val="007C6B89"/>
    <w:rsid w:val="007D06AA"/>
    <w:rsid w:val="007D17DB"/>
    <w:rsid w:val="007D1931"/>
    <w:rsid w:val="007D1D7B"/>
    <w:rsid w:val="007D290E"/>
    <w:rsid w:val="007D508B"/>
    <w:rsid w:val="007D5312"/>
    <w:rsid w:val="007D6886"/>
    <w:rsid w:val="007E0193"/>
    <w:rsid w:val="007E23B9"/>
    <w:rsid w:val="007E2692"/>
    <w:rsid w:val="007E34EA"/>
    <w:rsid w:val="007E4611"/>
    <w:rsid w:val="007E4AE1"/>
    <w:rsid w:val="007E54F6"/>
    <w:rsid w:val="007E553C"/>
    <w:rsid w:val="007E6B8B"/>
    <w:rsid w:val="007E6D2F"/>
    <w:rsid w:val="007E7615"/>
    <w:rsid w:val="007F05D2"/>
    <w:rsid w:val="007F0B4F"/>
    <w:rsid w:val="007F24A2"/>
    <w:rsid w:val="007F3847"/>
    <w:rsid w:val="007F3BD2"/>
    <w:rsid w:val="007F47DE"/>
    <w:rsid w:val="007F4C8B"/>
    <w:rsid w:val="007F6672"/>
    <w:rsid w:val="007F6871"/>
    <w:rsid w:val="007F780F"/>
    <w:rsid w:val="00800FEA"/>
    <w:rsid w:val="0080129E"/>
    <w:rsid w:val="008031AB"/>
    <w:rsid w:val="00803E3E"/>
    <w:rsid w:val="008043B2"/>
    <w:rsid w:val="008046A0"/>
    <w:rsid w:val="00805CFB"/>
    <w:rsid w:val="008066AA"/>
    <w:rsid w:val="00807F60"/>
    <w:rsid w:val="00811E2F"/>
    <w:rsid w:val="0081236D"/>
    <w:rsid w:val="00812F6C"/>
    <w:rsid w:val="00813258"/>
    <w:rsid w:val="00813964"/>
    <w:rsid w:val="008140DE"/>
    <w:rsid w:val="008165DF"/>
    <w:rsid w:val="008169A6"/>
    <w:rsid w:val="00817AB1"/>
    <w:rsid w:val="008204E8"/>
    <w:rsid w:val="0082138E"/>
    <w:rsid w:val="00821F63"/>
    <w:rsid w:val="0082290C"/>
    <w:rsid w:val="00822C48"/>
    <w:rsid w:val="00823041"/>
    <w:rsid w:val="00823103"/>
    <w:rsid w:val="008238A7"/>
    <w:rsid w:val="00824E75"/>
    <w:rsid w:val="0082556A"/>
    <w:rsid w:val="008263F7"/>
    <w:rsid w:val="008270C9"/>
    <w:rsid w:val="00830EAA"/>
    <w:rsid w:val="0083162B"/>
    <w:rsid w:val="00832307"/>
    <w:rsid w:val="008330B4"/>
    <w:rsid w:val="008337A9"/>
    <w:rsid w:val="00835DD8"/>
    <w:rsid w:val="00837099"/>
    <w:rsid w:val="00837167"/>
    <w:rsid w:val="0084078A"/>
    <w:rsid w:val="008412F6"/>
    <w:rsid w:val="0084194C"/>
    <w:rsid w:val="00841D8C"/>
    <w:rsid w:val="008428C4"/>
    <w:rsid w:val="00842955"/>
    <w:rsid w:val="008429D4"/>
    <w:rsid w:val="00844973"/>
    <w:rsid w:val="008455B2"/>
    <w:rsid w:val="008462EB"/>
    <w:rsid w:val="0084782A"/>
    <w:rsid w:val="008478E2"/>
    <w:rsid w:val="008479DB"/>
    <w:rsid w:val="00847D90"/>
    <w:rsid w:val="00852D24"/>
    <w:rsid w:val="0085395B"/>
    <w:rsid w:val="00854CEA"/>
    <w:rsid w:val="0085533C"/>
    <w:rsid w:val="00856630"/>
    <w:rsid w:val="00857190"/>
    <w:rsid w:val="00857F3F"/>
    <w:rsid w:val="008616F3"/>
    <w:rsid w:val="00862661"/>
    <w:rsid w:val="00863482"/>
    <w:rsid w:val="00863A78"/>
    <w:rsid w:val="00863E53"/>
    <w:rsid w:val="0086454B"/>
    <w:rsid w:val="00864767"/>
    <w:rsid w:val="00864EBB"/>
    <w:rsid w:val="00866199"/>
    <w:rsid w:val="008678BD"/>
    <w:rsid w:val="00870293"/>
    <w:rsid w:val="0087072D"/>
    <w:rsid w:val="00870746"/>
    <w:rsid w:val="00870823"/>
    <w:rsid w:val="00871807"/>
    <w:rsid w:val="0087259C"/>
    <w:rsid w:val="00872D5E"/>
    <w:rsid w:val="008732CF"/>
    <w:rsid w:val="0087344F"/>
    <w:rsid w:val="008738A1"/>
    <w:rsid w:val="00873D2C"/>
    <w:rsid w:val="00874841"/>
    <w:rsid w:val="00876083"/>
    <w:rsid w:val="00876526"/>
    <w:rsid w:val="0087666E"/>
    <w:rsid w:val="00876DDB"/>
    <w:rsid w:val="0087770C"/>
    <w:rsid w:val="0087785E"/>
    <w:rsid w:val="00880049"/>
    <w:rsid w:val="008806D9"/>
    <w:rsid w:val="00880735"/>
    <w:rsid w:val="00881C44"/>
    <w:rsid w:val="00881F25"/>
    <w:rsid w:val="008831C0"/>
    <w:rsid w:val="008832AA"/>
    <w:rsid w:val="0088365C"/>
    <w:rsid w:val="00887FA6"/>
    <w:rsid w:val="008901E6"/>
    <w:rsid w:val="0089187F"/>
    <w:rsid w:val="00891BD8"/>
    <w:rsid w:val="00892117"/>
    <w:rsid w:val="00892B0A"/>
    <w:rsid w:val="008962F6"/>
    <w:rsid w:val="008A427E"/>
    <w:rsid w:val="008A46A5"/>
    <w:rsid w:val="008A53DB"/>
    <w:rsid w:val="008A60FA"/>
    <w:rsid w:val="008A67D9"/>
    <w:rsid w:val="008A6FA0"/>
    <w:rsid w:val="008B0AE9"/>
    <w:rsid w:val="008B12C3"/>
    <w:rsid w:val="008B1448"/>
    <w:rsid w:val="008B2096"/>
    <w:rsid w:val="008B28B3"/>
    <w:rsid w:val="008B2A9A"/>
    <w:rsid w:val="008B3420"/>
    <w:rsid w:val="008B54FC"/>
    <w:rsid w:val="008B550B"/>
    <w:rsid w:val="008B6D75"/>
    <w:rsid w:val="008B7979"/>
    <w:rsid w:val="008B7C16"/>
    <w:rsid w:val="008C0827"/>
    <w:rsid w:val="008C1D2E"/>
    <w:rsid w:val="008C4549"/>
    <w:rsid w:val="008C4585"/>
    <w:rsid w:val="008C4A7F"/>
    <w:rsid w:val="008C5619"/>
    <w:rsid w:val="008C65A0"/>
    <w:rsid w:val="008D1A19"/>
    <w:rsid w:val="008D2514"/>
    <w:rsid w:val="008D2A42"/>
    <w:rsid w:val="008D3193"/>
    <w:rsid w:val="008D4D6A"/>
    <w:rsid w:val="008D5F8A"/>
    <w:rsid w:val="008D6682"/>
    <w:rsid w:val="008E0154"/>
    <w:rsid w:val="008E13E8"/>
    <w:rsid w:val="008E2F8F"/>
    <w:rsid w:val="008E31E1"/>
    <w:rsid w:val="008E3BD5"/>
    <w:rsid w:val="008E6D7B"/>
    <w:rsid w:val="008F1379"/>
    <w:rsid w:val="008F3138"/>
    <w:rsid w:val="008F3B94"/>
    <w:rsid w:val="008F4592"/>
    <w:rsid w:val="008F5002"/>
    <w:rsid w:val="008F539D"/>
    <w:rsid w:val="008F6661"/>
    <w:rsid w:val="008F6E14"/>
    <w:rsid w:val="00900160"/>
    <w:rsid w:val="0090085D"/>
    <w:rsid w:val="00902158"/>
    <w:rsid w:val="00903687"/>
    <w:rsid w:val="0090467C"/>
    <w:rsid w:val="009046A0"/>
    <w:rsid w:val="00904E94"/>
    <w:rsid w:val="009060ED"/>
    <w:rsid w:val="00906908"/>
    <w:rsid w:val="0090711F"/>
    <w:rsid w:val="0090737B"/>
    <w:rsid w:val="009073C5"/>
    <w:rsid w:val="0090747C"/>
    <w:rsid w:val="00907CAA"/>
    <w:rsid w:val="00907CD8"/>
    <w:rsid w:val="00907DF4"/>
    <w:rsid w:val="00910D31"/>
    <w:rsid w:val="00910E92"/>
    <w:rsid w:val="009115AB"/>
    <w:rsid w:val="00911734"/>
    <w:rsid w:val="00912336"/>
    <w:rsid w:val="0091243B"/>
    <w:rsid w:val="00913985"/>
    <w:rsid w:val="009139AF"/>
    <w:rsid w:val="0091419F"/>
    <w:rsid w:val="00914853"/>
    <w:rsid w:val="00914930"/>
    <w:rsid w:val="00920426"/>
    <w:rsid w:val="00920E0E"/>
    <w:rsid w:val="00922658"/>
    <w:rsid w:val="00922B25"/>
    <w:rsid w:val="00922F59"/>
    <w:rsid w:val="0092370C"/>
    <w:rsid w:val="009250D2"/>
    <w:rsid w:val="009252F2"/>
    <w:rsid w:val="00925666"/>
    <w:rsid w:val="00925997"/>
    <w:rsid w:val="009276F6"/>
    <w:rsid w:val="00930370"/>
    <w:rsid w:val="00930447"/>
    <w:rsid w:val="00930869"/>
    <w:rsid w:val="00930C65"/>
    <w:rsid w:val="00931594"/>
    <w:rsid w:val="00931BFA"/>
    <w:rsid w:val="0093235E"/>
    <w:rsid w:val="00934040"/>
    <w:rsid w:val="009344EF"/>
    <w:rsid w:val="00935A06"/>
    <w:rsid w:val="00935AD9"/>
    <w:rsid w:val="00935D5F"/>
    <w:rsid w:val="00935E57"/>
    <w:rsid w:val="00937703"/>
    <w:rsid w:val="0093771A"/>
    <w:rsid w:val="00937885"/>
    <w:rsid w:val="00937A1D"/>
    <w:rsid w:val="00940737"/>
    <w:rsid w:val="00941D67"/>
    <w:rsid w:val="00941DB4"/>
    <w:rsid w:val="00941DBB"/>
    <w:rsid w:val="00942DE4"/>
    <w:rsid w:val="009430D4"/>
    <w:rsid w:val="00943F2B"/>
    <w:rsid w:val="00945296"/>
    <w:rsid w:val="0094584C"/>
    <w:rsid w:val="0094605E"/>
    <w:rsid w:val="009464EC"/>
    <w:rsid w:val="00946FA3"/>
    <w:rsid w:val="00947B58"/>
    <w:rsid w:val="0095277E"/>
    <w:rsid w:val="0095388E"/>
    <w:rsid w:val="00953A84"/>
    <w:rsid w:val="00953ABE"/>
    <w:rsid w:val="0095439A"/>
    <w:rsid w:val="00954C94"/>
    <w:rsid w:val="009550FA"/>
    <w:rsid w:val="009551C1"/>
    <w:rsid w:val="00955A53"/>
    <w:rsid w:val="0095686A"/>
    <w:rsid w:val="00957FEA"/>
    <w:rsid w:val="009625F7"/>
    <w:rsid w:val="00963ABA"/>
    <w:rsid w:val="009641AB"/>
    <w:rsid w:val="009652A6"/>
    <w:rsid w:val="00965A8B"/>
    <w:rsid w:val="00967E58"/>
    <w:rsid w:val="009704E4"/>
    <w:rsid w:val="00970733"/>
    <w:rsid w:val="00970F64"/>
    <w:rsid w:val="00971677"/>
    <w:rsid w:val="00972889"/>
    <w:rsid w:val="009728F2"/>
    <w:rsid w:val="00972CC0"/>
    <w:rsid w:val="00974E3D"/>
    <w:rsid w:val="00975343"/>
    <w:rsid w:val="00975F5A"/>
    <w:rsid w:val="009767EB"/>
    <w:rsid w:val="00976969"/>
    <w:rsid w:val="00976ADB"/>
    <w:rsid w:val="00976AE6"/>
    <w:rsid w:val="00977FE0"/>
    <w:rsid w:val="009802FA"/>
    <w:rsid w:val="00980745"/>
    <w:rsid w:val="00981378"/>
    <w:rsid w:val="00981566"/>
    <w:rsid w:val="00982CD2"/>
    <w:rsid w:val="009833CB"/>
    <w:rsid w:val="0098415F"/>
    <w:rsid w:val="00984A8A"/>
    <w:rsid w:val="00984E32"/>
    <w:rsid w:val="00985C4E"/>
    <w:rsid w:val="009869C1"/>
    <w:rsid w:val="00986C85"/>
    <w:rsid w:val="00987DE1"/>
    <w:rsid w:val="0099042F"/>
    <w:rsid w:val="00990E71"/>
    <w:rsid w:val="00991DA4"/>
    <w:rsid w:val="00993B05"/>
    <w:rsid w:val="00994356"/>
    <w:rsid w:val="00994B10"/>
    <w:rsid w:val="00994CB7"/>
    <w:rsid w:val="00995407"/>
    <w:rsid w:val="00995A1B"/>
    <w:rsid w:val="0099607F"/>
    <w:rsid w:val="00996090"/>
    <w:rsid w:val="009972A7"/>
    <w:rsid w:val="009976E0"/>
    <w:rsid w:val="009A1157"/>
    <w:rsid w:val="009A1261"/>
    <w:rsid w:val="009A2615"/>
    <w:rsid w:val="009A2FBA"/>
    <w:rsid w:val="009A3293"/>
    <w:rsid w:val="009A3508"/>
    <w:rsid w:val="009A38C0"/>
    <w:rsid w:val="009A3CC1"/>
    <w:rsid w:val="009A4AB1"/>
    <w:rsid w:val="009A580A"/>
    <w:rsid w:val="009A631F"/>
    <w:rsid w:val="009B024C"/>
    <w:rsid w:val="009B1A28"/>
    <w:rsid w:val="009B2EB5"/>
    <w:rsid w:val="009B37D6"/>
    <w:rsid w:val="009B4635"/>
    <w:rsid w:val="009B4D39"/>
    <w:rsid w:val="009B5347"/>
    <w:rsid w:val="009B5D92"/>
    <w:rsid w:val="009B6225"/>
    <w:rsid w:val="009B62AF"/>
    <w:rsid w:val="009B7D55"/>
    <w:rsid w:val="009C135C"/>
    <w:rsid w:val="009C1471"/>
    <w:rsid w:val="009C1A30"/>
    <w:rsid w:val="009C1F5A"/>
    <w:rsid w:val="009C347D"/>
    <w:rsid w:val="009C3F0F"/>
    <w:rsid w:val="009C5C32"/>
    <w:rsid w:val="009C6196"/>
    <w:rsid w:val="009C66A4"/>
    <w:rsid w:val="009C7531"/>
    <w:rsid w:val="009C7CA7"/>
    <w:rsid w:val="009D0957"/>
    <w:rsid w:val="009D10A1"/>
    <w:rsid w:val="009D3121"/>
    <w:rsid w:val="009D31C7"/>
    <w:rsid w:val="009D4F01"/>
    <w:rsid w:val="009D5CCC"/>
    <w:rsid w:val="009D6278"/>
    <w:rsid w:val="009D67D9"/>
    <w:rsid w:val="009E0153"/>
    <w:rsid w:val="009E1038"/>
    <w:rsid w:val="009E155D"/>
    <w:rsid w:val="009E2C86"/>
    <w:rsid w:val="009E2D8F"/>
    <w:rsid w:val="009E3888"/>
    <w:rsid w:val="009E4906"/>
    <w:rsid w:val="009E5447"/>
    <w:rsid w:val="009E5568"/>
    <w:rsid w:val="009E683A"/>
    <w:rsid w:val="009E6FB0"/>
    <w:rsid w:val="009E747E"/>
    <w:rsid w:val="009F0216"/>
    <w:rsid w:val="009F0D1F"/>
    <w:rsid w:val="009F1AD8"/>
    <w:rsid w:val="009F1E3B"/>
    <w:rsid w:val="009F2047"/>
    <w:rsid w:val="009F25EE"/>
    <w:rsid w:val="009F2C71"/>
    <w:rsid w:val="009F3C6D"/>
    <w:rsid w:val="009F44CD"/>
    <w:rsid w:val="00A01D7D"/>
    <w:rsid w:val="00A02596"/>
    <w:rsid w:val="00A02A49"/>
    <w:rsid w:val="00A02F5D"/>
    <w:rsid w:val="00A071E9"/>
    <w:rsid w:val="00A072DB"/>
    <w:rsid w:val="00A07A6A"/>
    <w:rsid w:val="00A11721"/>
    <w:rsid w:val="00A12AC0"/>
    <w:rsid w:val="00A12C87"/>
    <w:rsid w:val="00A159DF"/>
    <w:rsid w:val="00A15D80"/>
    <w:rsid w:val="00A15EF9"/>
    <w:rsid w:val="00A17099"/>
    <w:rsid w:val="00A17826"/>
    <w:rsid w:val="00A17C90"/>
    <w:rsid w:val="00A200F9"/>
    <w:rsid w:val="00A20C68"/>
    <w:rsid w:val="00A20FED"/>
    <w:rsid w:val="00A215E2"/>
    <w:rsid w:val="00A22D0F"/>
    <w:rsid w:val="00A22E6E"/>
    <w:rsid w:val="00A23997"/>
    <w:rsid w:val="00A24062"/>
    <w:rsid w:val="00A2483C"/>
    <w:rsid w:val="00A249B8"/>
    <w:rsid w:val="00A249F7"/>
    <w:rsid w:val="00A24C55"/>
    <w:rsid w:val="00A251CE"/>
    <w:rsid w:val="00A2677F"/>
    <w:rsid w:val="00A26D88"/>
    <w:rsid w:val="00A275FF"/>
    <w:rsid w:val="00A27EBF"/>
    <w:rsid w:val="00A27EC2"/>
    <w:rsid w:val="00A324D3"/>
    <w:rsid w:val="00A32560"/>
    <w:rsid w:val="00A3256A"/>
    <w:rsid w:val="00A3259F"/>
    <w:rsid w:val="00A33B33"/>
    <w:rsid w:val="00A344C2"/>
    <w:rsid w:val="00A356BB"/>
    <w:rsid w:val="00A377BC"/>
    <w:rsid w:val="00A3789C"/>
    <w:rsid w:val="00A37C70"/>
    <w:rsid w:val="00A40CFF"/>
    <w:rsid w:val="00A41D56"/>
    <w:rsid w:val="00A41F86"/>
    <w:rsid w:val="00A43163"/>
    <w:rsid w:val="00A433E1"/>
    <w:rsid w:val="00A4340C"/>
    <w:rsid w:val="00A44D04"/>
    <w:rsid w:val="00A46B70"/>
    <w:rsid w:val="00A4757E"/>
    <w:rsid w:val="00A4776F"/>
    <w:rsid w:val="00A47B7F"/>
    <w:rsid w:val="00A5139F"/>
    <w:rsid w:val="00A51B53"/>
    <w:rsid w:val="00A52160"/>
    <w:rsid w:val="00A529E9"/>
    <w:rsid w:val="00A535C7"/>
    <w:rsid w:val="00A537AB"/>
    <w:rsid w:val="00A54050"/>
    <w:rsid w:val="00A54310"/>
    <w:rsid w:val="00A546C0"/>
    <w:rsid w:val="00A547C1"/>
    <w:rsid w:val="00A54A48"/>
    <w:rsid w:val="00A55673"/>
    <w:rsid w:val="00A55CCC"/>
    <w:rsid w:val="00A55F2F"/>
    <w:rsid w:val="00A5696D"/>
    <w:rsid w:val="00A61E23"/>
    <w:rsid w:val="00A62657"/>
    <w:rsid w:val="00A63467"/>
    <w:rsid w:val="00A635CB"/>
    <w:rsid w:val="00A64C93"/>
    <w:rsid w:val="00A64DD0"/>
    <w:rsid w:val="00A6659F"/>
    <w:rsid w:val="00A66A86"/>
    <w:rsid w:val="00A67E9C"/>
    <w:rsid w:val="00A71353"/>
    <w:rsid w:val="00A729A1"/>
    <w:rsid w:val="00A72D13"/>
    <w:rsid w:val="00A737AD"/>
    <w:rsid w:val="00A73C1A"/>
    <w:rsid w:val="00A7457C"/>
    <w:rsid w:val="00A74C77"/>
    <w:rsid w:val="00A755C2"/>
    <w:rsid w:val="00A75C29"/>
    <w:rsid w:val="00A760FE"/>
    <w:rsid w:val="00A76854"/>
    <w:rsid w:val="00A7770B"/>
    <w:rsid w:val="00A80432"/>
    <w:rsid w:val="00A80E3D"/>
    <w:rsid w:val="00A82B1C"/>
    <w:rsid w:val="00A82BB2"/>
    <w:rsid w:val="00A831A3"/>
    <w:rsid w:val="00A83926"/>
    <w:rsid w:val="00A84925"/>
    <w:rsid w:val="00A853FD"/>
    <w:rsid w:val="00A855D3"/>
    <w:rsid w:val="00A857F6"/>
    <w:rsid w:val="00A9074B"/>
    <w:rsid w:val="00A92244"/>
    <w:rsid w:val="00A93988"/>
    <w:rsid w:val="00A93C0B"/>
    <w:rsid w:val="00A9567E"/>
    <w:rsid w:val="00A95941"/>
    <w:rsid w:val="00A96C96"/>
    <w:rsid w:val="00A97124"/>
    <w:rsid w:val="00A971EB"/>
    <w:rsid w:val="00AA03D7"/>
    <w:rsid w:val="00AA1912"/>
    <w:rsid w:val="00AA1943"/>
    <w:rsid w:val="00AA1B20"/>
    <w:rsid w:val="00AA29C2"/>
    <w:rsid w:val="00AA43B5"/>
    <w:rsid w:val="00AA5164"/>
    <w:rsid w:val="00AA62D5"/>
    <w:rsid w:val="00AA64D5"/>
    <w:rsid w:val="00AA751F"/>
    <w:rsid w:val="00AA796A"/>
    <w:rsid w:val="00AA7EB5"/>
    <w:rsid w:val="00AB1A76"/>
    <w:rsid w:val="00AB1B85"/>
    <w:rsid w:val="00AB3676"/>
    <w:rsid w:val="00AB38CF"/>
    <w:rsid w:val="00AB458A"/>
    <w:rsid w:val="00AB4A1A"/>
    <w:rsid w:val="00AB4A85"/>
    <w:rsid w:val="00AB4A8E"/>
    <w:rsid w:val="00AB4E43"/>
    <w:rsid w:val="00AB5839"/>
    <w:rsid w:val="00AB5A04"/>
    <w:rsid w:val="00AB6715"/>
    <w:rsid w:val="00AB6E40"/>
    <w:rsid w:val="00AB7E7E"/>
    <w:rsid w:val="00AC0510"/>
    <w:rsid w:val="00AC090F"/>
    <w:rsid w:val="00AC1AFB"/>
    <w:rsid w:val="00AC1E0E"/>
    <w:rsid w:val="00AC21B9"/>
    <w:rsid w:val="00AC6B95"/>
    <w:rsid w:val="00AC75E9"/>
    <w:rsid w:val="00AC7713"/>
    <w:rsid w:val="00AD2672"/>
    <w:rsid w:val="00AD2E3E"/>
    <w:rsid w:val="00AD38E4"/>
    <w:rsid w:val="00AD440A"/>
    <w:rsid w:val="00AD45EE"/>
    <w:rsid w:val="00AD4E4D"/>
    <w:rsid w:val="00AD4F3E"/>
    <w:rsid w:val="00AD5054"/>
    <w:rsid w:val="00AD5924"/>
    <w:rsid w:val="00AD5D44"/>
    <w:rsid w:val="00AD5E6A"/>
    <w:rsid w:val="00AE034D"/>
    <w:rsid w:val="00AE07DA"/>
    <w:rsid w:val="00AE0D91"/>
    <w:rsid w:val="00AE1D40"/>
    <w:rsid w:val="00AE2436"/>
    <w:rsid w:val="00AE5019"/>
    <w:rsid w:val="00AE5D7E"/>
    <w:rsid w:val="00AE5FC8"/>
    <w:rsid w:val="00AE60B2"/>
    <w:rsid w:val="00AE7169"/>
    <w:rsid w:val="00AE76BF"/>
    <w:rsid w:val="00AF0955"/>
    <w:rsid w:val="00AF13F0"/>
    <w:rsid w:val="00AF20B4"/>
    <w:rsid w:val="00AF214F"/>
    <w:rsid w:val="00AF2E1B"/>
    <w:rsid w:val="00AF386C"/>
    <w:rsid w:val="00AF3A79"/>
    <w:rsid w:val="00AF49CB"/>
    <w:rsid w:val="00AF4DC9"/>
    <w:rsid w:val="00AF6655"/>
    <w:rsid w:val="00B01BDD"/>
    <w:rsid w:val="00B0291A"/>
    <w:rsid w:val="00B02C42"/>
    <w:rsid w:val="00B0317D"/>
    <w:rsid w:val="00B03315"/>
    <w:rsid w:val="00B03C9D"/>
    <w:rsid w:val="00B04090"/>
    <w:rsid w:val="00B0475F"/>
    <w:rsid w:val="00B04B6C"/>
    <w:rsid w:val="00B04F66"/>
    <w:rsid w:val="00B07FD1"/>
    <w:rsid w:val="00B118A3"/>
    <w:rsid w:val="00B126E7"/>
    <w:rsid w:val="00B1351C"/>
    <w:rsid w:val="00B13D4F"/>
    <w:rsid w:val="00B144B9"/>
    <w:rsid w:val="00B14589"/>
    <w:rsid w:val="00B14D6A"/>
    <w:rsid w:val="00B15409"/>
    <w:rsid w:val="00B179BA"/>
    <w:rsid w:val="00B17B00"/>
    <w:rsid w:val="00B20409"/>
    <w:rsid w:val="00B20A7A"/>
    <w:rsid w:val="00B21E43"/>
    <w:rsid w:val="00B21E88"/>
    <w:rsid w:val="00B21F67"/>
    <w:rsid w:val="00B21F6A"/>
    <w:rsid w:val="00B22F79"/>
    <w:rsid w:val="00B23E10"/>
    <w:rsid w:val="00B24B43"/>
    <w:rsid w:val="00B24BFD"/>
    <w:rsid w:val="00B2653A"/>
    <w:rsid w:val="00B26757"/>
    <w:rsid w:val="00B2710E"/>
    <w:rsid w:val="00B27941"/>
    <w:rsid w:val="00B27F3E"/>
    <w:rsid w:val="00B301D9"/>
    <w:rsid w:val="00B31E65"/>
    <w:rsid w:val="00B31FD9"/>
    <w:rsid w:val="00B320F5"/>
    <w:rsid w:val="00B322AF"/>
    <w:rsid w:val="00B32E22"/>
    <w:rsid w:val="00B3440D"/>
    <w:rsid w:val="00B34CEC"/>
    <w:rsid w:val="00B35553"/>
    <w:rsid w:val="00B35C8C"/>
    <w:rsid w:val="00B35ECB"/>
    <w:rsid w:val="00B36205"/>
    <w:rsid w:val="00B40503"/>
    <w:rsid w:val="00B40D80"/>
    <w:rsid w:val="00B4138A"/>
    <w:rsid w:val="00B42784"/>
    <w:rsid w:val="00B42C98"/>
    <w:rsid w:val="00B43144"/>
    <w:rsid w:val="00B4497B"/>
    <w:rsid w:val="00B4517F"/>
    <w:rsid w:val="00B4578D"/>
    <w:rsid w:val="00B47952"/>
    <w:rsid w:val="00B50EB7"/>
    <w:rsid w:val="00B51868"/>
    <w:rsid w:val="00B521B6"/>
    <w:rsid w:val="00B5287A"/>
    <w:rsid w:val="00B5359B"/>
    <w:rsid w:val="00B53856"/>
    <w:rsid w:val="00B555EB"/>
    <w:rsid w:val="00B5674C"/>
    <w:rsid w:val="00B5739A"/>
    <w:rsid w:val="00B60B0E"/>
    <w:rsid w:val="00B60F11"/>
    <w:rsid w:val="00B60F65"/>
    <w:rsid w:val="00B61FFF"/>
    <w:rsid w:val="00B6244D"/>
    <w:rsid w:val="00B62D26"/>
    <w:rsid w:val="00B630B5"/>
    <w:rsid w:val="00B652BB"/>
    <w:rsid w:val="00B653DF"/>
    <w:rsid w:val="00B65753"/>
    <w:rsid w:val="00B65755"/>
    <w:rsid w:val="00B6619E"/>
    <w:rsid w:val="00B67069"/>
    <w:rsid w:val="00B67D19"/>
    <w:rsid w:val="00B72E76"/>
    <w:rsid w:val="00B7301C"/>
    <w:rsid w:val="00B730E9"/>
    <w:rsid w:val="00B734A1"/>
    <w:rsid w:val="00B74E24"/>
    <w:rsid w:val="00B75B80"/>
    <w:rsid w:val="00B768FA"/>
    <w:rsid w:val="00B77263"/>
    <w:rsid w:val="00B80B96"/>
    <w:rsid w:val="00B8315B"/>
    <w:rsid w:val="00B83792"/>
    <w:rsid w:val="00B85B84"/>
    <w:rsid w:val="00B85EB8"/>
    <w:rsid w:val="00B90355"/>
    <w:rsid w:val="00B90D41"/>
    <w:rsid w:val="00B91986"/>
    <w:rsid w:val="00B920D8"/>
    <w:rsid w:val="00B93240"/>
    <w:rsid w:val="00B95649"/>
    <w:rsid w:val="00B956BE"/>
    <w:rsid w:val="00B9575B"/>
    <w:rsid w:val="00B975F6"/>
    <w:rsid w:val="00B97711"/>
    <w:rsid w:val="00B97BFD"/>
    <w:rsid w:val="00BA0A5C"/>
    <w:rsid w:val="00BA0ABF"/>
    <w:rsid w:val="00BA1870"/>
    <w:rsid w:val="00BA1A0A"/>
    <w:rsid w:val="00BA1A26"/>
    <w:rsid w:val="00BA2ABF"/>
    <w:rsid w:val="00BA3AD2"/>
    <w:rsid w:val="00BA540D"/>
    <w:rsid w:val="00BA56E8"/>
    <w:rsid w:val="00BA6769"/>
    <w:rsid w:val="00BB027E"/>
    <w:rsid w:val="00BB0584"/>
    <w:rsid w:val="00BB105F"/>
    <w:rsid w:val="00BB17CB"/>
    <w:rsid w:val="00BB1ADB"/>
    <w:rsid w:val="00BB3395"/>
    <w:rsid w:val="00BB4393"/>
    <w:rsid w:val="00BB4859"/>
    <w:rsid w:val="00BB4F9C"/>
    <w:rsid w:val="00BB69B5"/>
    <w:rsid w:val="00BC1094"/>
    <w:rsid w:val="00BC15F2"/>
    <w:rsid w:val="00BC1D50"/>
    <w:rsid w:val="00BC3EE1"/>
    <w:rsid w:val="00BC46F9"/>
    <w:rsid w:val="00BC6E7A"/>
    <w:rsid w:val="00BC75ED"/>
    <w:rsid w:val="00BC796C"/>
    <w:rsid w:val="00BD2821"/>
    <w:rsid w:val="00BD2D64"/>
    <w:rsid w:val="00BD2E59"/>
    <w:rsid w:val="00BD387D"/>
    <w:rsid w:val="00BD3A72"/>
    <w:rsid w:val="00BD3BED"/>
    <w:rsid w:val="00BD3E63"/>
    <w:rsid w:val="00BD5C28"/>
    <w:rsid w:val="00BD6CA6"/>
    <w:rsid w:val="00BD74A1"/>
    <w:rsid w:val="00BD7E8A"/>
    <w:rsid w:val="00BE0BD7"/>
    <w:rsid w:val="00BE10FE"/>
    <w:rsid w:val="00BE199D"/>
    <w:rsid w:val="00BE1CD2"/>
    <w:rsid w:val="00BE1DD6"/>
    <w:rsid w:val="00BE324F"/>
    <w:rsid w:val="00BE3627"/>
    <w:rsid w:val="00BE3A6C"/>
    <w:rsid w:val="00BE41ED"/>
    <w:rsid w:val="00BE5223"/>
    <w:rsid w:val="00BE5C05"/>
    <w:rsid w:val="00BE6311"/>
    <w:rsid w:val="00BE6355"/>
    <w:rsid w:val="00BF0671"/>
    <w:rsid w:val="00BF1C11"/>
    <w:rsid w:val="00BF2D22"/>
    <w:rsid w:val="00BF3A65"/>
    <w:rsid w:val="00BF3F49"/>
    <w:rsid w:val="00BF438D"/>
    <w:rsid w:val="00BF43C4"/>
    <w:rsid w:val="00BF58A3"/>
    <w:rsid w:val="00C00BE5"/>
    <w:rsid w:val="00C00C3C"/>
    <w:rsid w:val="00C045C0"/>
    <w:rsid w:val="00C04A64"/>
    <w:rsid w:val="00C04F80"/>
    <w:rsid w:val="00C04F81"/>
    <w:rsid w:val="00C05032"/>
    <w:rsid w:val="00C05C35"/>
    <w:rsid w:val="00C05F99"/>
    <w:rsid w:val="00C0664E"/>
    <w:rsid w:val="00C06AA7"/>
    <w:rsid w:val="00C07297"/>
    <w:rsid w:val="00C14CCA"/>
    <w:rsid w:val="00C1594A"/>
    <w:rsid w:val="00C162F8"/>
    <w:rsid w:val="00C167DF"/>
    <w:rsid w:val="00C177D6"/>
    <w:rsid w:val="00C178BA"/>
    <w:rsid w:val="00C17D2C"/>
    <w:rsid w:val="00C17FFD"/>
    <w:rsid w:val="00C213BD"/>
    <w:rsid w:val="00C21465"/>
    <w:rsid w:val="00C21AB8"/>
    <w:rsid w:val="00C21EBD"/>
    <w:rsid w:val="00C223F7"/>
    <w:rsid w:val="00C23057"/>
    <w:rsid w:val="00C23A6B"/>
    <w:rsid w:val="00C24714"/>
    <w:rsid w:val="00C24843"/>
    <w:rsid w:val="00C248D9"/>
    <w:rsid w:val="00C25111"/>
    <w:rsid w:val="00C26684"/>
    <w:rsid w:val="00C267E3"/>
    <w:rsid w:val="00C269E2"/>
    <w:rsid w:val="00C273EE"/>
    <w:rsid w:val="00C303C2"/>
    <w:rsid w:val="00C30526"/>
    <w:rsid w:val="00C31F44"/>
    <w:rsid w:val="00C33AEC"/>
    <w:rsid w:val="00C34ACD"/>
    <w:rsid w:val="00C34DD9"/>
    <w:rsid w:val="00C35415"/>
    <w:rsid w:val="00C35DE8"/>
    <w:rsid w:val="00C372AB"/>
    <w:rsid w:val="00C40E5F"/>
    <w:rsid w:val="00C41124"/>
    <w:rsid w:val="00C424D2"/>
    <w:rsid w:val="00C432FB"/>
    <w:rsid w:val="00C43373"/>
    <w:rsid w:val="00C43C29"/>
    <w:rsid w:val="00C445B4"/>
    <w:rsid w:val="00C45533"/>
    <w:rsid w:val="00C45A2D"/>
    <w:rsid w:val="00C46957"/>
    <w:rsid w:val="00C47253"/>
    <w:rsid w:val="00C472E1"/>
    <w:rsid w:val="00C47FB5"/>
    <w:rsid w:val="00C5027F"/>
    <w:rsid w:val="00C5043A"/>
    <w:rsid w:val="00C50B44"/>
    <w:rsid w:val="00C513DF"/>
    <w:rsid w:val="00C5187D"/>
    <w:rsid w:val="00C51ED5"/>
    <w:rsid w:val="00C52CBD"/>
    <w:rsid w:val="00C52F16"/>
    <w:rsid w:val="00C5559F"/>
    <w:rsid w:val="00C5588A"/>
    <w:rsid w:val="00C559D8"/>
    <w:rsid w:val="00C56DFA"/>
    <w:rsid w:val="00C57A59"/>
    <w:rsid w:val="00C57F89"/>
    <w:rsid w:val="00C62842"/>
    <w:rsid w:val="00C6312A"/>
    <w:rsid w:val="00C64BE4"/>
    <w:rsid w:val="00C64FA3"/>
    <w:rsid w:val="00C655A8"/>
    <w:rsid w:val="00C66689"/>
    <w:rsid w:val="00C66A90"/>
    <w:rsid w:val="00C67129"/>
    <w:rsid w:val="00C70C2B"/>
    <w:rsid w:val="00C73186"/>
    <w:rsid w:val="00C73616"/>
    <w:rsid w:val="00C7387C"/>
    <w:rsid w:val="00C73931"/>
    <w:rsid w:val="00C7497D"/>
    <w:rsid w:val="00C75340"/>
    <w:rsid w:val="00C75B10"/>
    <w:rsid w:val="00C75B89"/>
    <w:rsid w:val="00C76782"/>
    <w:rsid w:val="00C7698C"/>
    <w:rsid w:val="00C77B60"/>
    <w:rsid w:val="00C77DBE"/>
    <w:rsid w:val="00C807A8"/>
    <w:rsid w:val="00C80BF1"/>
    <w:rsid w:val="00C81547"/>
    <w:rsid w:val="00C815F2"/>
    <w:rsid w:val="00C8185F"/>
    <w:rsid w:val="00C81E64"/>
    <w:rsid w:val="00C820D4"/>
    <w:rsid w:val="00C82ECF"/>
    <w:rsid w:val="00C83189"/>
    <w:rsid w:val="00C83D7F"/>
    <w:rsid w:val="00C83E3C"/>
    <w:rsid w:val="00C851C0"/>
    <w:rsid w:val="00C85B0C"/>
    <w:rsid w:val="00C869B5"/>
    <w:rsid w:val="00C86E4D"/>
    <w:rsid w:val="00C877ED"/>
    <w:rsid w:val="00C900B1"/>
    <w:rsid w:val="00C9089B"/>
    <w:rsid w:val="00C911BB"/>
    <w:rsid w:val="00C921F6"/>
    <w:rsid w:val="00C921FC"/>
    <w:rsid w:val="00C92A74"/>
    <w:rsid w:val="00C94361"/>
    <w:rsid w:val="00C94E7F"/>
    <w:rsid w:val="00C95228"/>
    <w:rsid w:val="00C9598F"/>
    <w:rsid w:val="00CA0E9D"/>
    <w:rsid w:val="00CA22E2"/>
    <w:rsid w:val="00CA26F4"/>
    <w:rsid w:val="00CA26FC"/>
    <w:rsid w:val="00CA3449"/>
    <w:rsid w:val="00CA3807"/>
    <w:rsid w:val="00CA3B7A"/>
    <w:rsid w:val="00CA3E54"/>
    <w:rsid w:val="00CA3F56"/>
    <w:rsid w:val="00CA57E4"/>
    <w:rsid w:val="00CA5C68"/>
    <w:rsid w:val="00CA6547"/>
    <w:rsid w:val="00CA6B18"/>
    <w:rsid w:val="00CA7121"/>
    <w:rsid w:val="00CA7859"/>
    <w:rsid w:val="00CB1160"/>
    <w:rsid w:val="00CB13AE"/>
    <w:rsid w:val="00CB1E6A"/>
    <w:rsid w:val="00CB2862"/>
    <w:rsid w:val="00CB5308"/>
    <w:rsid w:val="00CB6F87"/>
    <w:rsid w:val="00CB7729"/>
    <w:rsid w:val="00CB7F6D"/>
    <w:rsid w:val="00CC1178"/>
    <w:rsid w:val="00CC3035"/>
    <w:rsid w:val="00CC3849"/>
    <w:rsid w:val="00CC3C75"/>
    <w:rsid w:val="00CC66D5"/>
    <w:rsid w:val="00CC763B"/>
    <w:rsid w:val="00CC7F95"/>
    <w:rsid w:val="00CD1256"/>
    <w:rsid w:val="00CD17CA"/>
    <w:rsid w:val="00CD1EC5"/>
    <w:rsid w:val="00CD2845"/>
    <w:rsid w:val="00CD28DD"/>
    <w:rsid w:val="00CD3EF5"/>
    <w:rsid w:val="00CD4B89"/>
    <w:rsid w:val="00CD530B"/>
    <w:rsid w:val="00CD5B54"/>
    <w:rsid w:val="00CD5F7C"/>
    <w:rsid w:val="00CD61BB"/>
    <w:rsid w:val="00CD7396"/>
    <w:rsid w:val="00CD7461"/>
    <w:rsid w:val="00CE0821"/>
    <w:rsid w:val="00CE0BDC"/>
    <w:rsid w:val="00CE17F2"/>
    <w:rsid w:val="00CE1802"/>
    <w:rsid w:val="00CE2F73"/>
    <w:rsid w:val="00CE39E5"/>
    <w:rsid w:val="00CE3BD4"/>
    <w:rsid w:val="00CE53A5"/>
    <w:rsid w:val="00CE604F"/>
    <w:rsid w:val="00CE60A3"/>
    <w:rsid w:val="00CE67C5"/>
    <w:rsid w:val="00CE6A11"/>
    <w:rsid w:val="00CE6C8C"/>
    <w:rsid w:val="00CE7CE9"/>
    <w:rsid w:val="00CF0500"/>
    <w:rsid w:val="00CF1354"/>
    <w:rsid w:val="00CF2B50"/>
    <w:rsid w:val="00CF2DEC"/>
    <w:rsid w:val="00CF4D46"/>
    <w:rsid w:val="00CF52DD"/>
    <w:rsid w:val="00CF54C2"/>
    <w:rsid w:val="00CF6049"/>
    <w:rsid w:val="00CF7D29"/>
    <w:rsid w:val="00CF7FFC"/>
    <w:rsid w:val="00D01E68"/>
    <w:rsid w:val="00D02339"/>
    <w:rsid w:val="00D034A7"/>
    <w:rsid w:val="00D04820"/>
    <w:rsid w:val="00D06AD4"/>
    <w:rsid w:val="00D1042D"/>
    <w:rsid w:val="00D10B3F"/>
    <w:rsid w:val="00D10C45"/>
    <w:rsid w:val="00D10DF0"/>
    <w:rsid w:val="00D10E4F"/>
    <w:rsid w:val="00D12A57"/>
    <w:rsid w:val="00D130F3"/>
    <w:rsid w:val="00D149F1"/>
    <w:rsid w:val="00D14F8F"/>
    <w:rsid w:val="00D15661"/>
    <w:rsid w:val="00D16788"/>
    <w:rsid w:val="00D17349"/>
    <w:rsid w:val="00D17B78"/>
    <w:rsid w:val="00D20106"/>
    <w:rsid w:val="00D2013D"/>
    <w:rsid w:val="00D20357"/>
    <w:rsid w:val="00D20360"/>
    <w:rsid w:val="00D20815"/>
    <w:rsid w:val="00D232B9"/>
    <w:rsid w:val="00D23E0A"/>
    <w:rsid w:val="00D24945"/>
    <w:rsid w:val="00D25274"/>
    <w:rsid w:val="00D25E5E"/>
    <w:rsid w:val="00D26389"/>
    <w:rsid w:val="00D26487"/>
    <w:rsid w:val="00D2728E"/>
    <w:rsid w:val="00D27B6E"/>
    <w:rsid w:val="00D27F7A"/>
    <w:rsid w:val="00D30873"/>
    <w:rsid w:val="00D30CDD"/>
    <w:rsid w:val="00D32240"/>
    <w:rsid w:val="00D332C8"/>
    <w:rsid w:val="00D335CF"/>
    <w:rsid w:val="00D3452C"/>
    <w:rsid w:val="00D34E89"/>
    <w:rsid w:val="00D351A8"/>
    <w:rsid w:val="00D3557F"/>
    <w:rsid w:val="00D3699D"/>
    <w:rsid w:val="00D369D0"/>
    <w:rsid w:val="00D36B6D"/>
    <w:rsid w:val="00D37654"/>
    <w:rsid w:val="00D37CCE"/>
    <w:rsid w:val="00D416BE"/>
    <w:rsid w:val="00D417F9"/>
    <w:rsid w:val="00D427BB"/>
    <w:rsid w:val="00D43254"/>
    <w:rsid w:val="00D43C85"/>
    <w:rsid w:val="00D43D38"/>
    <w:rsid w:val="00D4402F"/>
    <w:rsid w:val="00D45786"/>
    <w:rsid w:val="00D46BB0"/>
    <w:rsid w:val="00D47518"/>
    <w:rsid w:val="00D515E5"/>
    <w:rsid w:val="00D522CB"/>
    <w:rsid w:val="00D52465"/>
    <w:rsid w:val="00D5459A"/>
    <w:rsid w:val="00D56DC2"/>
    <w:rsid w:val="00D60464"/>
    <w:rsid w:val="00D61C04"/>
    <w:rsid w:val="00D6377E"/>
    <w:rsid w:val="00D63E32"/>
    <w:rsid w:val="00D64540"/>
    <w:rsid w:val="00D65561"/>
    <w:rsid w:val="00D65CBC"/>
    <w:rsid w:val="00D65CE2"/>
    <w:rsid w:val="00D6642E"/>
    <w:rsid w:val="00D67FBE"/>
    <w:rsid w:val="00D67FE2"/>
    <w:rsid w:val="00D70032"/>
    <w:rsid w:val="00D71859"/>
    <w:rsid w:val="00D72DB9"/>
    <w:rsid w:val="00D7489C"/>
    <w:rsid w:val="00D7569B"/>
    <w:rsid w:val="00D75CFE"/>
    <w:rsid w:val="00D77379"/>
    <w:rsid w:val="00D80128"/>
    <w:rsid w:val="00D801EA"/>
    <w:rsid w:val="00D81DBE"/>
    <w:rsid w:val="00D81E2A"/>
    <w:rsid w:val="00D83058"/>
    <w:rsid w:val="00D853F6"/>
    <w:rsid w:val="00D85794"/>
    <w:rsid w:val="00D85EE0"/>
    <w:rsid w:val="00D86544"/>
    <w:rsid w:val="00D87A62"/>
    <w:rsid w:val="00D90123"/>
    <w:rsid w:val="00D91309"/>
    <w:rsid w:val="00D914F2"/>
    <w:rsid w:val="00D918DE"/>
    <w:rsid w:val="00D9190C"/>
    <w:rsid w:val="00D91CAC"/>
    <w:rsid w:val="00D93B10"/>
    <w:rsid w:val="00D941F2"/>
    <w:rsid w:val="00D94429"/>
    <w:rsid w:val="00D94981"/>
    <w:rsid w:val="00D9508E"/>
    <w:rsid w:val="00D967EC"/>
    <w:rsid w:val="00D96F6D"/>
    <w:rsid w:val="00DA292B"/>
    <w:rsid w:val="00DA3463"/>
    <w:rsid w:val="00DA3F20"/>
    <w:rsid w:val="00DA419B"/>
    <w:rsid w:val="00DA45C8"/>
    <w:rsid w:val="00DA60DB"/>
    <w:rsid w:val="00DA67F8"/>
    <w:rsid w:val="00DB0119"/>
    <w:rsid w:val="00DB03DC"/>
    <w:rsid w:val="00DB0758"/>
    <w:rsid w:val="00DB07EE"/>
    <w:rsid w:val="00DB1998"/>
    <w:rsid w:val="00DB2401"/>
    <w:rsid w:val="00DB31DF"/>
    <w:rsid w:val="00DB329F"/>
    <w:rsid w:val="00DB345E"/>
    <w:rsid w:val="00DB369E"/>
    <w:rsid w:val="00DB4317"/>
    <w:rsid w:val="00DB4FD4"/>
    <w:rsid w:val="00DB5D80"/>
    <w:rsid w:val="00DB6164"/>
    <w:rsid w:val="00DB63C0"/>
    <w:rsid w:val="00DB6E9D"/>
    <w:rsid w:val="00DB704A"/>
    <w:rsid w:val="00DB7200"/>
    <w:rsid w:val="00DB73EF"/>
    <w:rsid w:val="00DC038A"/>
    <w:rsid w:val="00DC132F"/>
    <w:rsid w:val="00DC249A"/>
    <w:rsid w:val="00DC5DE3"/>
    <w:rsid w:val="00DC6238"/>
    <w:rsid w:val="00DC6E85"/>
    <w:rsid w:val="00DC7F4F"/>
    <w:rsid w:val="00DC7FF7"/>
    <w:rsid w:val="00DD0180"/>
    <w:rsid w:val="00DD0C0E"/>
    <w:rsid w:val="00DD1500"/>
    <w:rsid w:val="00DD27FD"/>
    <w:rsid w:val="00DD2C0B"/>
    <w:rsid w:val="00DD4001"/>
    <w:rsid w:val="00DD42F7"/>
    <w:rsid w:val="00DD5283"/>
    <w:rsid w:val="00DD5306"/>
    <w:rsid w:val="00DD5F09"/>
    <w:rsid w:val="00DD5FD9"/>
    <w:rsid w:val="00DD765B"/>
    <w:rsid w:val="00DE006A"/>
    <w:rsid w:val="00DE0466"/>
    <w:rsid w:val="00DE0904"/>
    <w:rsid w:val="00DE0DF1"/>
    <w:rsid w:val="00DE166B"/>
    <w:rsid w:val="00DE1D66"/>
    <w:rsid w:val="00DE20AE"/>
    <w:rsid w:val="00DE242C"/>
    <w:rsid w:val="00DE2A56"/>
    <w:rsid w:val="00DE39B5"/>
    <w:rsid w:val="00DE3EAB"/>
    <w:rsid w:val="00DE4C97"/>
    <w:rsid w:val="00DE59B0"/>
    <w:rsid w:val="00DE5A02"/>
    <w:rsid w:val="00DE648B"/>
    <w:rsid w:val="00DE671C"/>
    <w:rsid w:val="00DE74D4"/>
    <w:rsid w:val="00DF000F"/>
    <w:rsid w:val="00DF031F"/>
    <w:rsid w:val="00DF103A"/>
    <w:rsid w:val="00DF1357"/>
    <w:rsid w:val="00DF1AA4"/>
    <w:rsid w:val="00DF21DC"/>
    <w:rsid w:val="00DF251B"/>
    <w:rsid w:val="00DF269C"/>
    <w:rsid w:val="00DF3950"/>
    <w:rsid w:val="00DF43C8"/>
    <w:rsid w:val="00DF527E"/>
    <w:rsid w:val="00DF5912"/>
    <w:rsid w:val="00DF59B9"/>
    <w:rsid w:val="00DF669F"/>
    <w:rsid w:val="00DF6C14"/>
    <w:rsid w:val="00DF7254"/>
    <w:rsid w:val="00E00C6A"/>
    <w:rsid w:val="00E02080"/>
    <w:rsid w:val="00E05AAA"/>
    <w:rsid w:val="00E05EBE"/>
    <w:rsid w:val="00E066CF"/>
    <w:rsid w:val="00E07E53"/>
    <w:rsid w:val="00E101E0"/>
    <w:rsid w:val="00E1112D"/>
    <w:rsid w:val="00E1228D"/>
    <w:rsid w:val="00E12560"/>
    <w:rsid w:val="00E12C5A"/>
    <w:rsid w:val="00E1361A"/>
    <w:rsid w:val="00E1523D"/>
    <w:rsid w:val="00E158CB"/>
    <w:rsid w:val="00E16986"/>
    <w:rsid w:val="00E20695"/>
    <w:rsid w:val="00E2077A"/>
    <w:rsid w:val="00E20F8F"/>
    <w:rsid w:val="00E23E90"/>
    <w:rsid w:val="00E243B9"/>
    <w:rsid w:val="00E24971"/>
    <w:rsid w:val="00E24D95"/>
    <w:rsid w:val="00E25931"/>
    <w:rsid w:val="00E26134"/>
    <w:rsid w:val="00E26469"/>
    <w:rsid w:val="00E26BAA"/>
    <w:rsid w:val="00E27857"/>
    <w:rsid w:val="00E27AAB"/>
    <w:rsid w:val="00E27C94"/>
    <w:rsid w:val="00E30A28"/>
    <w:rsid w:val="00E30C03"/>
    <w:rsid w:val="00E31172"/>
    <w:rsid w:val="00E317DD"/>
    <w:rsid w:val="00E31B90"/>
    <w:rsid w:val="00E32337"/>
    <w:rsid w:val="00E33C5A"/>
    <w:rsid w:val="00E34F4C"/>
    <w:rsid w:val="00E35ECB"/>
    <w:rsid w:val="00E3775C"/>
    <w:rsid w:val="00E40337"/>
    <w:rsid w:val="00E4067B"/>
    <w:rsid w:val="00E426CE"/>
    <w:rsid w:val="00E42EAB"/>
    <w:rsid w:val="00E43305"/>
    <w:rsid w:val="00E449B9"/>
    <w:rsid w:val="00E44E75"/>
    <w:rsid w:val="00E46C48"/>
    <w:rsid w:val="00E46F63"/>
    <w:rsid w:val="00E512AF"/>
    <w:rsid w:val="00E51C28"/>
    <w:rsid w:val="00E51F76"/>
    <w:rsid w:val="00E52B6B"/>
    <w:rsid w:val="00E52EEE"/>
    <w:rsid w:val="00E5352B"/>
    <w:rsid w:val="00E54006"/>
    <w:rsid w:val="00E542CE"/>
    <w:rsid w:val="00E5566D"/>
    <w:rsid w:val="00E55BF3"/>
    <w:rsid w:val="00E57202"/>
    <w:rsid w:val="00E572D5"/>
    <w:rsid w:val="00E606A6"/>
    <w:rsid w:val="00E60FDA"/>
    <w:rsid w:val="00E62DB6"/>
    <w:rsid w:val="00E64FA8"/>
    <w:rsid w:val="00E652A1"/>
    <w:rsid w:val="00E6550B"/>
    <w:rsid w:val="00E66ED6"/>
    <w:rsid w:val="00E67AC4"/>
    <w:rsid w:val="00E70053"/>
    <w:rsid w:val="00E7047F"/>
    <w:rsid w:val="00E70638"/>
    <w:rsid w:val="00E71737"/>
    <w:rsid w:val="00E71D16"/>
    <w:rsid w:val="00E73075"/>
    <w:rsid w:val="00E7384C"/>
    <w:rsid w:val="00E75FD9"/>
    <w:rsid w:val="00E760E0"/>
    <w:rsid w:val="00E7768B"/>
    <w:rsid w:val="00E77796"/>
    <w:rsid w:val="00E779CC"/>
    <w:rsid w:val="00E77A75"/>
    <w:rsid w:val="00E813C2"/>
    <w:rsid w:val="00E8179E"/>
    <w:rsid w:val="00E82A24"/>
    <w:rsid w:val="00E833E0"/>
    <w:rsid w:val="00E8404A"/>
    <w:rsid w:val="00E8441F"/>
    <w:rsid w:val="00E85B22"/>
    <w:rsid w:val="00E85DBA"/>
    <w:rsid w:val="00E868E1"/>
    <w:rsid w:val="00E8783C"/>
    <w:rsid w:val="00E8789B"/>
    <w:rsid w:val="00E9237E"/>
    <w:rsid w:val="00E9363C"/>
    <w:rsid w:val="00E9371B"/>
    <w:rsid w:val="00E953EF"/>
    <w:rsid w:val="00E95E72"/>
    <w:rsid w:val="00E95F23"/>
    <w:rsid w:val="00E96E92"/>
    <w:rsid w:val="00EA1085"/>
    <w:rsid w:val="00EA2490"/>
    <w:rsid w:val="00EA2640"/>
    <w:rsid w:val="00EA283E"/>
    <w:rsid w:val="00EA40AC"/>
    <w:rsid w:val="00EA4966"/>
    <w:rsid w:val="00EB0270"/>
    <w:rsid w:val="00EB082E"/>
    <w:rsid w:val="00EB0F33"/>
    <w:rsid w:val="00EB134B"/>
    <w:rsid w:val="00EB1F93"/>
    <w:rsid w:val="00EB1F9E"/>
    <w:rsid w:val="00EB30DE"/>
    <w:rsid w:val="00EB4577"/>
    <w:rsid w:val="00EB47A8"/>
    <w:rsid w:val="00EB617B"/>
    <w:rsid w:val="00EB7290"/>
    <w:rsid w:val="00EB72A4"/>
    <w:rsid w:val="00EB7CDF"/>
    <w:rsid w:val="00EC1D8C"/>
    <w:rsid w:val="00EC29B0"/>
    <w:rsid w:val="00EC4360"/>
    <w:rsid w:val="00EC4C9E"/>
    <w:rsid w:val="00EC551D"/>
    <w:rsid w:val="00EC6408"/>
    <w:rsid w:val="00ED008E"/>
    <w:rsid w:val="00ED0C65"/>
    <w:rsid w:val="00ED1494"/>
    <w:rsid w:val="00ED14CD"/>
    <w:rsid w:val="00ED35B5"/>
    <w:rsid w:val="00ED3653"/>
    <w:rsid w:val="00ED36D3"/>
    <w:rsid w:val="00ED3961"/>
    <w:rsid w:val="00ED47A9"/>
    <w:rsid w:val="00ED50E9"/>
    <w:rsid w:val="00ED5E82"/>
    <w:rsid w:val="00ED6176"/>
    <w:rsid w:val="00ED6578"/>
    <w:rsid w:val="00ED7FF8"/>
    <w:rsid w:val="00EE097B"/>
    <w:rsid w:val="00EE21CC"/>
    <w:rsid w:val="00EE31C3"/>
    <w:rsid w:val="00EE3665"/>
    <w:rsid w:val="00EE58DD"/>
    <w:rsid w:val="00EE5B43"/>
    <w:rsid w:val="00EE6814"/>
    <w:rsid w:val="00EE6DCE"/>
    <w:rsid w:val="00EE7207"/>
    <w:rsid w:val="00EF0262"/>
    <w:rsid w:val="00EF0CD2"/>
    <w:rsid w:val="00EF1655"/>
    <w:rsid w:val="00EF317C"/>
    <w:rsid w:val="00EF31D4"/>
    <w:rsid w:val="00EF4D4F"/>
    <w:rsid w:val="00EF6258"/>
    <w:rsid w:val="00EF6E8B"/>
    <w:rsid w:val="00EF7C07"/>
    <w:rsid w:val="00F0027E"/>
    <w:rsid w:val="00F00884"/>
    <w:rsid w:val="00F023C8"/>
    <w:rsid w:val="00F04026"/>
    <w:rsid w:val="00F042BD"/>
    <w:rsid w:val="00F06B27"/>
    <w:rsid w:val="00F10659"/>
    <w:rsid w:val="00F10769"/>
    <w:rsid w:val="00F10F26"/>
    <w:rsid w:val="00F118EB"/>
    <w:rsid w:val="00F13A8E"/>
    <w:rsid w:val="00F14500"/>
    <w:rsid w:val="00F147A0"/>
    <w:rsid w:val="00F15EC6"/>
    <w:rsid w:val="00F21594"/>
    <w:rsid w:val="00F219C5"/>
    <w:rsid w:val="00F22057"/>
    <w:rsid w:val="00F22799"/>
    <w:rsid w:val="00F22B02"/>
    <w:rsid w:val="00F23177"/>
    <w:rsid w:val="00F232F4"/>
    <w:rsid w:val="00F23797"/>
    <w:rsid w:val="00F23933"/>
    <w:rsid w:val="00F23C50"/>
    <w:rsid w:val="00F23E40"/>
    <w:rsid w:val="00F23F3A"/>
    <w:rsid w:val="00F273F6"/>
    <w:rsid w:val="00F27416"/>
    <w:rsid w:val="00F3089A"/>
    <w:rsid w:val="00F31683"/>
    <w:rsid w:val="00F32305"/>
    <w:rsid w:val="00F33B65"/>
    <w:rsid w:val="00F344F5"/>
    <w:rsid w:val="00F34CEF"/>
    <w:rsid w:val="00F36764"/>
    <w:rsid w:val="00F36B30"/>
    <w:rsid w:val="00F442DA"/>
    <w:rsid w:val="00F473BF"/>
    <w:rsid w:val="00F4766C"/>
    <w:rsid w:val="00F4795F"/>
    <w:rsid w:val="00F509C3"/>
    <w:rsid w:val="00F51B2F"/>
    <w:rsid w:val="00F53770"/>
    <w:rsid w:val="00F537A7"/>
    <w:rsid w:val="00F53D12"/>
    <w:rsid w:val="00F53EC4"/>
    <w:rsid w:val="00F54A47"/>
    <w:rsid w:val="00F54CBD"/>
    <w:rsid w:val="00F56F23"/>
    <w:rsid w:val="00F5730B"/>
    <w:rsid w:val="00F6062A"/>
    <w:rsid w:val="00F60A8F"/>
    <w:rsid w:val="00F60DB9"/>
    <w:rsid w:val="00F62F36"/>
    <w:rsid w:val="00F64A59"/>
    <w:rsid w:val="00F6502C"/>
    <w:rsid w:val="00F65C1E"/>
    <w:rsid w:val="00F65CDA"/>
    <w:rsid w:val="00F65F0D"/>
    <w:rsid w:val="00F70426"/>
    <w:rsid w:val="00F71498"/>
    <w:rsid w:val="00F72FE3"/>
    <w:rsid w:val="00F731A4"/>
    <w:rsid w:val="00F73603"/>
    <w:rsid w:val="00F73652"/>
    <w:rsid w:val="00F74686"/>
    <w:rsid w:val="00F750F0"/>
    <w:rsid w:val="00F757B1"/>
    <w:rsid w:val="00F76713"/>
    <w:rsid w:val="00F76D70"/>
    <w:rsid w:val="00F76EC2"/>
    <w:rsid w:val="00F77494"/>
    <w:rsid w:val="00F80344"/>
    <w:rsid w:val="00F8171D"/>
    <w:rsid w:val="00F83A5B"/>
    <w:rsid w:val="00F83A73"/>
    <w:rsid w:val="00F84623"/>
    <w:rsid w:val="00F85033"/>
    <w:rsid w:val="00F85E5B"/>
    <w:rsid w:val="00F87712"/>
    <w:rsid w:val="00F91418"/>
    <w:rsid w:val="00F9166C"/>
    <w:rsid w:val="00F91F6E"/>
    <w:rsid w:val="00F926CF"/>
    <w:rsid w:val="00F928B2"/>
    <w:rsid w:val="00F92F46"/>
    <w:rsid w:val="00F938C2"/>
    <w:rsid w:val="00F93C8D"/>
    <w:rsid w:val="00F942E8"/>
    <w:rsid w:val="00F946E5"/>
    <w:rsid w:val="00F947F4"/>
    <w:rsid w:val="00F9570B"/>
    <w:rsid w:val="00F959BB"/>
    <w:rsid w:val="00F966F1"/>
    <w:rsid w:val="00F96DB7"/>
    <w:rsid w:val="00F97450"/>
    <w:rsid w:val="00FA09A1"/>
    <w:rsid w:val="00FA22AE"/>
    <w:rsid w:val="00FA2D11"/>
    <w:rsid w:val="00FA31D3"/>
    <w:rsid w:val="00FA3EEC"/>
    <w:rsid w:val="00FA440D"/>
    <w:rsid w:val="00FA6D2B"/>
    <w:rsid w:val="00FA6EE7"/>
    <w:rsid w:val="00FA70B5"/>
    <w:rsid w:val="00FA751C"/>
    <w:rsid w:val="00FA77C1"/>
    <w:rsid w:val="00FA7FFB"/>
    <w:rsid w:val="00FB068E"/>
    <w:rsid w:val="00FB111F"/>
    <w:rsid w:val="00FB175A"/>
    <w:rsid w:val="00FB2D5A"/>
    <w:rsid w:val="00FB46C0"/>
    <w:rsid w:val="00FB5B5A"/>
    <w:rsid w:val="00FB603B"/>
    <w:rsid w:val="00FB61A9"/>
    <w:rsid w:val="00FC25FD"/>
    <w:rsid w:val="00FC3049"/>
    <w:rsid w:val="00FC390B"/>
    <w:rsid w:val="00FC3C08"/>
    <w:rsid w:val="00FC4BBB"/>
    <w:rsid w:val="00FC507B"/>
    <w:rsid w:val="00FC64A6"/>
    <w:rsid w:val="00FD16BE"/>
    <w:rsid w:val="00FD17D2"/>
    <w:rsid w:val="00FD1ED4"/>
    <w:rsid w:val="00FD2407"/>
    <w:rsid w:val="00FD306A"/>
    <w:rsid w:val="00FD3147"/>
    <w:rsid w:val="00FD36D9"/>
    <w:rsid w:val="00FD57F5"/>
    <w:rsid w:val="00FD6277"/>
    <w:rsid w:val="00FD6D51"/>
    <w:rsid w:val="00FD74AD"/>
    <w:rsid w:val="00FD797F"/>
    <w:rsid w:val="00FD7DC7"/>
    <w:rsid w:val="00FD7E58"/>
    <w:rsid w:val="00FE0A31"/>
    <w:rsid w:val="00FE0DB5"/>
    <w:rsid w:val="00FE1E37"/>
    <w:rsid w:val="00FE2C3B"/>
    <w:rsid w:val="00FE31BD"/>
    <w:rsid w:val="00FE3B53"/>
    <w:rsid w:val="00FE3EEB"/>
    <w:rsid w:val="00FE446D"/>
    <w:rsid w:val="00FE4D56"/>
    <w:rsid w:val="00FE4F58"/>
    <w:rsid w:val="00FE697B"/>
    <w:rsid w:val="00FE6F5A"/>
    <w:rsid w:val="00FE75DF"/>
    <w:rsid w:val="00FF09A1"/>
    <w:rsid w:val="00FF199D"/>
    <w:rsid w:val="00FF20BE"/>
    <w:rsid w:val="00FF23FF"/>
    <w:rsid w:val="00FF5188"/>
    <w:rsid w:val="00FF535C"/>
    <w:rsid w:val="00FF5F70"/>
    <w:rsid w:val="00FF6B8D"/>
    <w:rsid w:val="00FF7578"/>
    <w:rsid w:val="078C65F0"/>
    <w:rsid w:val="07901255"/>
    <w:rsid w:val="135C06B1"/>
    <w:rsid w:val="15375626"/>
    <w:rsid w:val="1DA4FC1B"/>
    <w:rsid w:val="221DC81E"/>
    <w:rsid w:val="22B08080"/>
    <w:rsid w:val="22DDAE4A"/>
    <w:rsid w:val="23601B50"/>
    <w:rsid w:val="263339B7"/>
    <w:rsid w:val="267F400C"/>
    <w:rsid w:val="289F1514"/>
    <w:rsid w:val="30AF7FAF"/>
    <w:rsid w:val="30F07014"/>
    <w:rsid w:val="3257B534"/>
    <w:rsid w:val="3310FC8F"/>
    <w:rsid w:val="347497D0"/>
    <w:rsid w:val="3643F189"/>
    <w:rsid w:val="36A7831C"/>
    <w:rsid w:val="38276134"/>
    <w:rsid w:val="3A6FC56D"/>
    <w:rsid w:val="3CC5EB82"/>
    <w:rsid w:val="3D779688"/>
    <w:rsid w:val="40B7941A"/>
    <w:rsid w:val="4442F079"/>
    <w:rsid w:val="48408875"/>
    <w:rsid w:val="5E97EE55"/>
    <w:rsid w:val="5F2E2C82"/>
    <w:rsid w:val="602F0B20"/>
    <w:rsid w:val="61E1D149"/>
    <w:rsid w:val="63766876"/>
    <w:rsid w:val="659D3B0C"/>
    <w:rsid w:val="66DEC26C"/>
    <w:rsid w:val="6E4F828D"/>
    <w:rsid w:val="7F744D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894E54B"/>
  <w15:docId w15:val="{DE5DD17D-D38F-49C9-8472-82228094F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60" w:after="80" w:line="233" w:lineRule="auto"/>
      </w:pPr>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Message Header" w:semiHidden="1" w:unhideWhenUsed="1"/>
    <w:lsdException w:name="Salutation"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75DF"/>
    <w:pPr>
      <w:spacing w:before="120" w:after="120" w:line="320" w:lineRule="atLeast"/>
    </w:pPr>
    <w:rPr>
      <w:rFonts w:ascii="Arial" w:hAnsi="Arial" w:cs="Arial"/>
      <w:sz w:val="22"/>
    </w:rPr>
  </w:style>
  <w:style w:type="paragraph" w:styleId="Heading1">
    <w:name w:val="heading 1"/>
    <w:basedOn w:val="BodyText"/>
    <w:next w:val="Normal"/>
    <w:link w:val="Heading1Char"/>
    <w:qFormat/>
    <w:rsid w:val="00BE5C05"/>
    <w:pPr>
      <w:keepNext/>
      <w:spacing w:before="320" w:after="240" w:line="480" w:lineRule="atLeast"/>
      <w:outlineLvl w:val="0"/>
    </w:pPr>
    <w:rPr>
      <w:b/>
      <w:color w:val="00617A"/>
      <w:spacing w:val="-2"/>
      <w:sz w:val="46"/>
    </w:rPr>
  </w:style>
  <w:style w:type="paragraph" w:styleId="Heading2">
    <w:name w:val="heading 2"/>
    <w:basedOn w:val="BodyText"/>
    <w:next w:val="Normal"/>
    <w:link w:val="Heading2Char"/>
    <w:uiPriority w:val="9"/>
    <w:qFormat/>
    <w:rsid w:val="006959DD"/>
    <w:pPr>
      <w:keepNext/>
      <w:spacing w:before="240"/>
      <w:outlineLvl w:val="1"/>
    </w:pPr>
    <w:rPr>
      <w:color w:val="005A9C"/>
      <w:sz w:val="26"/>
    </w:rPr>
  </w:style>
  <w:style w:type="paragraph" w:styleId="Heading3">
    <w:name w:val="heading 3"/>
    <w:basedOn w:val="Normal"/>
    <w:next w:val="Normal"/>
    <w:link w:val="Heading3Char"/>
    <w:uiPriority w:val="9"/>
    <w:qFormat/>
    <w:rsid w:val="00BE5C05"/>
    <w:pPr>
      <w:keepNext/>
      <w:spacing w:before="280" w:after="60" w:line="260" w:lineRule="atLeast"/>
      <w:outlineLvl w:val="2"/>
    </w:pPr>
    <w:rPr>
      <w:b/>
      <w:color w:val="00617A"/>
    </w:rPr>
  </w:style>
  <w:style w:type="paragraph" w:styleId="Heading4">
    <w:name w:val="heading 4"/>
    <w:basedOn w:val="Normal"/>
    <w:next w:val="Normal"/>
    <w:link w:val="Heading4Char"/>
    <w:uiPriority w:val="9"/>
    <w:qFormat/>
    <w:rsid w:val="00D4402F"/>
    <w:pPr>
      <w:keepNext/>
      <w:spacing w:before="100" w:after="0"/>
      <w:outlineLvl w:val="3"/>
    </w:pPr>
    <w:rPr>
      <w:rFonts w:asciiTheme="majorHAnsi" w:hAnsiTheme="majorHAnsi"/>
      <w:b/>
      <w:bCs/>
      <w:color w:val="000000" w:themeColor="text1"/>
      <w:szCs w:val="28"/>
    </w:rPr>
  </w:style>
  <w:style w:type="paragraph" w:styleId="Heading5">
    <w:name w:val="heading 5"/>
    <w:basedOn w:val="Normal"/>
    <w:next w:val="Caption"/>
    <w:link w:val="Heading5Char"/>
    <w:uiPriority w:val="9"/>
    <w:qFormat/>
    <w:rsid w:val="00BF3A65"/>
    <w:pPr>
      <w:spacing w:before="240" w:after="60"/>
      <w:outlineLvl w:val="4"/>
    </w:pPr>
    <w:rPr>
      <w:b/>
      <w:bCs/>
      <w:i/>
      <w:iCs/>
      <w:sz w:val="26"/>
      <w:szCs w:val="26"/>
    </w:rPr>
  </w:style>
  <w:style w:type="paragraph" w:styleId="Heading6">
    <w:name w:val="heading 6"/>
    <w:basedOn w:val="Normal"/>
    <w:next w:val="Normal"/>
    <w:link w:val="Heading6Char"/>
    <w:uiPriority w:val="9"/>
    <w:qFormat/>
    <w:rsid w:val="00BF3A65"/>
    <w:pPr>
      <w:spacing w:before="240" w:after="60"/>
      <w:outlineLvl w:val="5"/>
    </w:pPr>
    <w:rPr>
      <w:b/>
      <w:bCs/>
    </w:rPr>
  </w:style>
  <w:style w:type="paragraph" w:styleId="Heading7">
    <w:name w:val="heading 7"/>
    <w:basedOn w:val="Normal"/>
    <w:next w:val="Normal"/>
    <w:link w:val="Heading7Char"/>
    <w:uiPriority w:val="9"/>
    <w:qFormat/>
    <w:rsid w:val="00BF3A65"/>
    <w:pPr>
      <w:spacing w:before="240" w:after="60"/>
      <w:outlineLvl w:val="6"/>
    </w:pPr>
    <w:rPr>
      <w:sz w:val="24"/>
      <w:szCs w:val="24"/>
    </w:rPr>
  </w:style>
  <w:style w:type="paragraph" w:styleId="Heading8">
    <w:name w:val="heading 8"/>
    <w:basedOn w:val="Normal"/>
    <w:next w:val="Normal"/>
    <w:link w:val="Heading8Char"/>
    <w:uiPriority w:val="9"/>
    <w:qFormat/>
    <w:rsid w:val="00BF3A65"/>
    <w:pPr>
      <w:spacing w:before="240" w:after="60"/>
      <w:outlineLvl w:val="7"/>
    </w:pPr>
    <w:rPr>
      <w:i/>
      <w:iCs/>
      <w:sz w:val="24"/>
      <w:szCs w:val="24"/>
    </w:rPr>
  </w:style>
  <w:style w:type="paragraph" w:styleId="Heading9">
    <w:name w:val="heading 9"/>
    <w:basedOn w:val="Normal"/>
    <w:next w:val="Normal"/>
    <w:link w:val="Heading9Char"/>
    <w:uiPriority w:val="9"/>
    <w:qFormat/>
    <w:rsid w:val="00BF3A65"/>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330B4"/>
    <w:pPr>
      <w:spacing w:before="0" w:after="0"/>
    </w:pPr>
    <w:rPr>
      <w:sz w:val="18"/>
    </w:rPr>
  </w:style>
  <w:style w:type="character" w:customStyle="1" w:styleId="HeaderChar">
    <w:name w:val="Header Char"/>
    <w:basedOn w:val="DefaultParagraphFont"/>
    <w:link w:val="Header"/>
    <w:uiPriority w:val="99"/>
    <w:rsid w:val="008330B4"/>
    <w:rPr>
      <w:sz w:val="18"/>
    </w:rPr>
  </w:style>
  <w:style w:type="paragraph" w:styleId="Footer">
    <w:name w:val="footer"/>
    <w:basedOn w:val="Normal"/>
    <w:link w:val="FooterChar"/>
    <w:uiPriority w:val="99"/>
    <w:rsid w:val="00BE5C05"/>
    <w:pPr>
      <w:spacing w:after="0" w:line="160" w:lineRule="exact"/>
    </w:pPr>
    <w:rPr>
      <w:rFonts w:asciiTheme="majorHAnsi" w:hAnsiTheme="majorHAnsi"/>
      <w:color w:val="676464"/>
      <w:sz w:val="16"/>
    </w:rPr>
  </w:style>
  <w:style w:type="character" w:styleId="Hyperlink">
    <w:name w:val="Hyperlink"/>
    <w:basedOn w:val="DefaultParagraphFont"/>
    <w:uiPriority w:val="99"/>
    <w:unhideWhenUsed/>
    <w:rsid w:val="00213842"/>
    <w:rPr>
      <w:color w:val="184398" w:themeColor="hyperlink"/>
      <w:u w:val="single"/>
    </w:rPr>
  </w:style>
  <w:style w:type="paragraph" w:styleId="TOCHeading">
    <w:name w:val="TOC Heading"/>
    <w:basedOn w:val="Normal"/>
    <w:next w:val="Normal"/>
    <w:uiPriority w:val="39"/>
    <w:unhideWhenUsed/>
    <w:qFormat/>
    <w:rsid w:val="00BE5C05"/>
    <w:pPr>
      <w:keepLines/>
      <w:spacing w:before="0" w:after="480" w:line="204" w:lineRule="auto"/>
    </w:pPr>
    <w:rPr>
      <w:rFonts w:asciiTheme="majorHAnsi" w:eastAsiaTheme="majorEastAsia" w:hAnsiTheme="majorHAnsi" w:cstheme="majorBidi"/>
      <w:b/>
      <w:color w:val="00B4EE" w:themeColor="accent1"/>
      <w:sz w:val="46"/>
      <w:szCs w:val="32"/>
    </w:rPr>
  </w:style>
  <w:style w:type="character" w:customStyle="1" w:styleId="FooterChar">
    <w:name w:val="Footer Char"/>
    <w:basedOn w:val="DefaultParagraphFont"/>
    <w:link w:val="Footer"/>
    <w:uiPriority w:val="99"/>
    <w:rsid w:val="00BE5C05"/>
    <w:rPr>
      <w:rFonts w:asciiTheme="majorHAnsi" w:hAnsiTheme="majorHAnsi"/>
      <w:color w:val="676464"/>
      <w:sz w:val="16"/>
    </w:rPr>
  </w:style>
  <w:style w:type="paragraph" w:styleId="BalloonText">
    <w:name w:val="Balloon Text"/>
    <w:basedOn w:val="Normal"/>
    <w:link w:val="BalloonTextChar"/>
    <w:uiPriority w:val="99"/>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rsid w:val="003A4730"/>
    <w:pPr>
      <w:ind w:left="397"/>
    </w:pPr>
  </w:style>
  <w:style w:type="paragraph" w:styleId="ListContinue2">
    <w:name w:val="List Continue 2"/>
    <w:basedOn w:val="Normal"/>
    <w:link w:val="ListContinue2Char"/>
    <w:rsid w:val="003A4730"/>
    <w:pPr>
      <w:ind w:left="794"/>
    </w:pPr>
  </w:style>
  <w:style w:type="character" w:customStyle="1" w:styleId="ListContinue2Char">
    <w:name w:val="List Continue 2 Char"/>
    <w:basedOn w:val="DefaultParagraphFont"/>
    <w:link w:val="ListContinue2"/>
    <w:rsid w:val="003A4730"/>
  </w:style>
  <w:style w:type="paragraph" w:styleId="ListContinue3">
    <w:name w:val="List Continue 3"/>
    <w:basedOn w:val="ListContinue2"/>
    <w:link w:val="ListContinue3Char"/>
    <w:semiHidden/>
    <w:rsid w:val="00FD57F5"/>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504867"/>
    <w:pPr>
      <w:spacing w:before="120" w:after="120"/>
    </w:pPr>
    <w:tblPr>
      <w:tblStyleRowBandSize w:val="1"/>
      <w:tblStyleColBandSize w:val="1"/>
      <w:tblBorders>
        <w:top w:val="single" w:sz="4" w:space="0" w:color="FFFFFF" w:themeColor="background1"/>
        <w:bottom w:val="single" w:sz="4" w:space="0" w:color="FFFFFF" w:themeColor="background1"/>
        <w:insideH w:val="single" w:sz="4" w:space="0" w:color="FFFFFF" w:themeColor="background1"/>
        <w:insideV w:val="single" w:sz="4" w:space="0" w:color="FFFFFF" w:themeColor="background1"/>
      </w:tblBorders>
      <w:tblCellMar>
        <w:top w:w="85" w:type="dxa"/>
        <w:left w:w="170" w:type="dxa"/>
        <w:bottom w:w="85" w:type="dxa"/>
        <w:right w:w="85" w:type="dxa"/>
      </w:tblCellMar>
    </w:tblPr>
    <w:tcPr>
      <w:shd w:val="clear" w:color="auto" w:fill="F1F2F2" w:themeFill="background2"/>
    </w:tcPr>
    <w:tblStylePr w:type="firstRow">
      <w:pPr>
        <w:wordWrap/>
        <w:spacing w:beforeLines="0" w:before="0" w:beforeAutospacing="0" w:afterLines="0" w:after="0" w:afterAutospacing="0" w:line="233" w:lineRule="auto"/>
      </w:pPr>
      <w:rPr>
        <w:rFonts w:asciiTheme="majorHAnsi" w:hAnsiTheme="majorHAnsi"/>
        <w:b/>
        <w:color w:val="FFFFFF" w:themeColor="background1"/>
        <w:spacing w:val="0"/>
        <w:sz w:val="20"/>
      </w:rPr>
    </w:tblStylePr>
    <w:tblStylePr w:type="band2Horz">
      <w:tblPr/>
      <w:tcPr>
        <w:shd w:val="clear" w:color="auto" w:fill="E6E7E8" w:themeFill="text2"/>
      </w:tcPr>
    </w:tblStylePr>
  </w:style>
  <w:style w:type="paragraph" w:styleId="BodyText">
    <w:name w:val="Body Text"/>
    <w:basedOn w:val="Normal"/>
    <w:link w:val="BodyTextChar"/>
    <w:rsid w:val="00D4402F"/>
  </w:style>
  <w:style w:type="character" w:customStyle="1" w:styleId="BodyTextChar">
    <w:name w:val="Body Text Char"/>
    <w:basedOn w:val="DefaultParagraphFont"/>
    <w:link w:val="BodyText"/>
    <w:rsid w:val="00D4402F"/>
  </w:style>
  <w:style w:type="paragraph" w:styleId="ListBullet">
    <w:name w:val="List Bullet"/>
    <w:basedOn w:val="BodyText"/>
    <w:qFormat/>
    <w:rsid w:val="003A4730"/>
    <w:pPr>
      <w:numPr>
        <w:numId w:val="2"/>
      </w:numPr>
      <w:spacing w:before="50" w:after="50"/>
    </w:pPr>
    <w:rPr>
      <w:szCs w:val="18"/>
    </w:rPr>
  </w:style>
  <w:style w:type="paragraph" w:styleId="ListBullet2">
    <w:name w:val="List Bullet 2"/>
    <w:basedOn w:val="ListBullet"/>
    <w:qFormat/>
    <w:rsid w:val="00104560"/>
    <w:pPr>
      <w:numPr>
        <w:ilvl w:val="1"/>
      </w:numPr>
    </w:pPr>
  </w:style>
  <w:style w:type="paragraph" w:styleId="ListBullet3">
    <w:name w:val="List Bullet 3"/>
    <w:basedOn w:val="ListBullet2"/>
    <w:qFormat/>
    <w:rsid w:val="00104560"/>
    <w:pPr>
      <w:numPr>
        <w:ilvl w:val="2"/>
      </w:numPr>
    </w:pPr>
  </w:style>
  <w:style w:type="paragraph" w:styleId="ListNumber">
    <w:name w:val="List Number"/>
    <w:basedOn w:val="BodyText"/>
    <w:qFormat/>
    <w:rsid w:val="003A4730"/>
    <w:pPr>
      <w:numPr>
        <w:numId w:val="1"/>
      </w:numPr>
    </w:pPr>
    <w:rPr>
      <w:szCs w:val="18"/>
    </w:rPr>
  </w:style>
  <w:style w:type="paragraph" w:styleId="ListNumber2">
    <w:name w:val="List Number 2"/>
    <w:basedOn w:val="ListNumber"/>
    <w:qFormat/>
    <w:rsid w:val="00B47952"/>
    <w:pPr>
      <w:numPr>
        <w:ilvl w:val="1"/>
      </w:numPr>
    </w:pPr>
  </w:style>
  <w:style w:type="paragraph" w:styleId="ListNumber3">
    <w:name w:val="List Number 3"/>
    <w:basedOn w:val="ListNumber2"/>
    <w:qFormat/>
    <w:rsid w:val="00104560"/>
    <w:pPr>
      <w:numPr>
        <w:ilvl w:val="2"/>
      </w:numPr>
    </w:pPr>
  </w:style>
  <w:style w:type="character" w:styleId="PlaceholderText">
    <w:name w:val="Placeholder Text"/>
    <w:basedOn w:val="DefaultParagraphFont"/>
    <w:uiPriority w:val="99"/>
    <w:semiHidden/>
    <w:rsid w:val="009A2FBA"/>
    <w:rPr>
      <w:color w:val="808080"/>
    </w:rPr>
  </w:style>
  <w:style w:type="table" w:styleId="ColorfulGrid">
    <w:name w:val="Colorful Grid"/>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C8F1FF" w:themeFill="accent1" w:themeFillTint="33"/>
    </w:tcPr>
    <w:tblStylePr w:type="firstRow">
      <w:rPr>
        <w:b/>
        <w:bCs/>
      </w:rPr>
      <w:tblPr/>
      <w:tcPr>
        <w:shd w:val="clear" w:color="auto" w:fill="92E4FF" w:themeFill="accent1" w:themeFillTint="66"/>
      </w:tcPr>
    </w:tblStylePr>
    <w:tblStylePr w:type="lastRow">
      <w:rPr>
        <w:b/>
        <w:bCs/>
        <w:color w:val="000000" w:themeColor="text1"/>
      </w:rPr>
      <w:tblPr/>
      <w:tcPr>
        <w:shd w:val="clear" w:color="auto" w:fill="92E4FF" w:themeFill="accent1" w:themeFillTint="66"/>
      </w:tcPr>
    </w:tblStylePr>
    <w:tblStylePr w:type="firstCol">
      <w:rPr>
        <w:color w:val="FFFFFF" w:themeColor="background1"/>
      </w:rPr>
      <w:tblPr/>
      <w:tcPr>
        <w:shd w:val="clear" w:color="auto" w:fill="0086B2" w:themeFill="accent1" w:themeFillShade="BF"/>
      </w:tcPr>
    </w:tblStylePr>
    <w:tblStylePr w:type="lastCol">
      <w:rPr>
        <w:color w:val="FFFFFF" w:themeColor="background1"/>
      </w:rPr>
      <w:tblPr/>
      <w:tcPr>
        <w:shd w:val="clear" w:color="auto" w:fill="0086B2" w:themeFill="accent1" w:themeFillShade="BF"/>
      </w:tcPr>
    </w:tblStylePr>
    <w:tblStylePr w:type="band1Vert">
      <w:tblPr/>
      <w:tcPr>
        <w:shd w:val="clear" w:color="auto" w:fill="77DDFF" w:themeFill="accent1" w:themeFillTint="7F"/>
      </w:tcPr>
    </w:tblStylePr>
    <w:tblStylePr w:type="band1Horz">
      <w:tblPr/>
      <w:tcPr>
        <w:shd w:val="clear" w:color="auto" w:fill="77DDFF" w:themeFill="accent1" w:themeFillTint="7F"/>
      </w:tcPr>
    </w:tblStylePr>
  </w:style>
  <w:style w:type="table" w:styleId="ColorfulGrid-Accent2">
    <w:name w:val="Colorful Grid Accent 2"/>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C2E2FF" w:themeFill="accent2" w:themeFillTint="33"/>
    </w:tcPr>
    <w:tblStylePr w:type="firstRow">
      <w:rPr>
        <w:b/>
        <w:bCs/>
      </w:rPr>
      <w:tblPr/>
      <w:tcPr>
        <w:shd w:val="clear" w:color="auto" w:fill="85C5FF" w:themeFill="accent2" w:themeFillTint="66"/>
      </w:tcPr>
    </w:tblStylePr>
    <w:tblStylePr w:type="lastRow">
      <w:rPr>
        <w:b/>
        <w:bCs/>
        <w:color w:val="000000" w:themeColor="text1"/>
      </w:rPr>
      <w:tblPr/>
      <w:tcPr>
        <w:shd w:val="clear" w:color="auto" w:fill="85C5FF" w:themeFill="accent2" w:themeFillTint="66"/>
      </w:tcPr>
    </w:tblStylePr>
    <w:tblStylePr w:type="firstCol">
      <w:rPr>
        <w:color w:val="FFFFFF" w:themeColor="background1"/>
      </w:rPr>
      <w:tblPr/>
      <w:tcPr>
        <w:shd w:val="clear" w:color="auto" w:fill="005099" w:themeFill="accent2" w:themeFillShade="BF"/>
      </w:tcPr>
    </w:tblStylePr>
    <w:tblStylePr w:type="lastCol">
      <w:rPr>
        <w:color w:val="FFFFFF" w:themeColor="background1"/>
      </w:rPr>
      <w:tblPr/>
      <w:tcPr>
        <w:shd w:val="clear" w:color="auto" w:fill="005099" w:themeFill="accent2" w:themeFillShade="BF"/>
      </w:tcPr>
    </w:tblStylePr>
    <w:tblStylePr w:type="band1Vert">
      <w:tblPr/>
      <w:tcPr>
        <w:shd w:val="clear" w:color="auto" w:fill="67B6FF" w:themeFill="accent2" w:themeFillTint="7F"/>
      </w:tcPr>
    </w:tblStylePr>
    <w:tblStylePr w:type="band1Horz">
      <w:tblPr/>
      <w:tcPr>
        <w:shd w:val="clear" w:color="auto" w:fill="67B6FF" w:themeFill="accent2" w:themeFillTint="7F"/>
      </w:tcPr>
    </w:tblStylePr>
  </w:style>
  <w:style w:type="table" w:styleId="ColorfulGrid-Accent3">
    <w:name w:val="Colorful Grid Accent 3"/>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E5F5FF" w:themeFill="accent3" w:themeFillTint="33"/>
    </w:tcPr>
    <w:tblStylePr w:type="firstRow">
      <w:rPr>
        <w:b/>
        <w:bCs/>
      </w:rPr>
      <w:tblPr/>
      <w:tcPr>
        <w:shd w:val="clear" w:color="auto" w:fill="CBECFF" w:themeFill="accent3" w:themeFillTint="66"/>
      </w:tcPr>
    </w:tblStylePr>
    <w:tblStylePr w:type="lastRow">
      <w:rPr>
        <w:b/>
        <w:bCs/>
        <w:color w:val="000000" w:themeColor="text1"/>
      </w:rPr>
      <w:tblPr/>
      <w:tcPr>
        <w:shd w:val="clear" w:color="auto" w:fill="CBECFF" w:themeFill="accent3" w:themeFillTint="66"/>
      </w:tcPr>
    </w:tblStylePr>
    <w:tblStylePr w:type="firstCol">
      <w:rPr>
        <w:color w:val="FFFFFF" w:themeColor="background1"/>
      </w:rPr>
      <w:tblPr/>
      <w:tcPr>
        <w:shd w:val="clear" w:color="auto" w:fill="1EB0FF" w:themeFill="accent3" w:themeFillShade="BF"/>
      </w:tcPr>
    </w:tblStylePr>
    <w:tblStylePr w:type="lastCol">
      <w:rPr>
        <w:color w:val="FFFFFF" w:themeColor="background1"/>
      </w:rPr>
      <w:tblPr/>
      <w:tcPr>
        <w:shd w:val="clear" w:color="auto" w:fill="1EB0FF" w:themeFill="accent3" w:themeFillShade="BF"/>
      </w:tcPr>
    </w:tblStylePr>
    <w:tblStylePr w:type="band1Vert">
      <w:tblPr/>
      <w:tcPr>
        <w:shd w:val="clear" w:color="auto" w:fill="BEE8FF" w:themeFill="accent3" w:themeFillTint="7F"/>
      </w:tcPr>
    </w:tblStylePr>
    <w:tblStylePr w:type="band1Horz">
      <w:tblPr/>
      <w:tcPr>
        <w:shd w:val="clear" w:color="auto" w:fill="BEE8FF" w:themeFill="accent3" w:themeFillTint="7F"/>
      </w:tcPr>
    </w:tblStylePr>
  </w:style>
  <w:style w:type="table" w:styleId="ColorfulGrid-Accent4">
    <w:name w:val="Colorful Grid Accent 4"/>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C7EAFF" w:themeFill="accent4" w:themeFillTint="33"/>
    </w:tcPr>
    <w:tblStylePr w:type="firstRow">
      <w:rPr>
        <w:b/>
        <w:bCs/>
      </w:rPr>
      <w:tblPr/>
      <w:tcPr>
        <w:shd w:val="clear" w:color="auto" w:fill="90D5FF" w:themeFill="accent4" w:themeFillTint="66"/>
      </w:tcPr>
    </w:tblStylePr>
    <w:tblStylePr w:type="lastRow">
      <w:rPr>
        <w:b/>
        <w:bCs/>
        <w:color w:val="000000" w:themeColor="text1"/>
      </w:rPr>
      <w:tblPr/>
      <w:tcPr>
        <w:shd w:val="clear" w:color="auto" w:fill="90D5FF" w:themeFill="accent4" w:themeFillTint="66"/>
      </w:tcPr>
    </w:tblStylePr>
    <w:tblStylePr w:type="firstCol">
      <w:rPr>
        <w:color w:val="FFFFFF" w:themeColor="background1"/>
      </w:rPr>
      <w:tblPr/>
      <w:tcPr>
        <w:shd w:val="clear" w:color="auto" w:fill="006DAF" w:themeFill="accent4" w:themeFillShade="BF"/>
      </w:tcPr>
    </w:tblStylePr>
    <w:tblStylePr w:type="lastCol">
      <w:rPr>
        <w:color w:val="FFFFFF" w:themeColor="background1"/>
      </w:rPr>
      <w:tblPr/>
      <w:tcPr>
        <w:shd w:val="clear" w:color="auto" w:fill="006DAF" w:themeFill="accent4" w:themeFillShade="BF"/>
      </w:tcPr>
    </w:tblStylePr>
    <w:tblStylePr w:type="band1Vert">
      <w:tblPr/>
      <w:tcPr>
        <w:shd w:val="clear" w:color="auto" w:fill="75CBFF" w:themeFill="accent4" w:themeFillTint="7F"/>
      </w:tcPr>
    </w:tblStylePr>
    <w:tblStylePr w:type="band1Horz">
      <w:tblPr/>
      <w:tcPr>
        <w:shd w:val="clear" w:color="auto" w:fill="75CBFF" w:themeFill="accent4" w:themeFillTint="7F"/>
      </w:tcPr>
    </w:tblStylePr>
  </w:style>
  <w:style w:type="table" w:styleId="ColorfulGrid-Accent5">
    <w:name w:val="Colorful Grid Accent 5"/>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C5D5F6" w:themeFill="accent5" w:themeFillTint="33"/>
    </w:tcPr>
    <w:tblStylePr w:type="firstRow">
      <w:rPr>
        <w:b/>
        <w:bCs/>
      </w:rPr>
      <w:tblPr/>
      <w:tcPr>
        <w:shd w:val="clear" w:color="auto" w:fill="8BABEC" w:themeFill="accent5" w:themeFillTint="66"/>
      </w:tcPr>
    </w:tblStylePr>
    <w:tblStylePr w:type="lastRow">
      <w:rPr>
        <w:b/>
        <w:bCs/>
        <w:color w:val="000000" w:themeColor="text1"/>
      </w:rPr>
      <w:tblPr/>
      <w:tcPr>
        <w:shd w:val="clear" w:color="auto" w:fill="8BABEC" w:themeFill="accent5" w:themeFillTint="66"/>
      </w:tcPr>
    </w:tblStylePr>
    <w:tblStylePr w:type="firstCol">
      <w:rPr>
        <w:color w:val="FFFFFF" w:themeColor="background1"/>
      </w:rPr>
      <w:tblPr/>
      <w:tcPr>
        <w:shd w:val="clear" w:color="auto" w:fill="123171" w:themeFill="accent5" w:themeFillShade="BF"/>
      </w:tcPr>
    </w:tblStylePr>
    <w:tblStylePr w:type="lastCol">
      <w:rPr>
        <w:color w:val="FFFFFF" w:themeColor="background1"/>
      </w:rPr>
      <w:tblPr/>
      <w:tcPr>
        <w:shd w:val="clear" w:color="auto" w:fill="123171" w:themeFill="accent5" w:themeFillShade="BF"/>
      </w:tcPr>
    </w:tblStylePr>
    <w:tblStylePr w:type="band1Vert">
      <w:tblPr/>
      <w:tcPr>
        <w:shd w:val="clear" w:color="auto" w:fill="6F97E8" w:themeFill="accent5" w:themeFillTint="7F"/>
      </w:tcPr>
    </w:tblStylePr>
    <w:tblStylePr w:type="band1Horz">
      <w:tblPr/>
      <w:tcPr>
        <w:shd w:val="clear" w:color="auto" w:fill="6F97E8" w:themeFill="accent5" w:themeFillTint="7F"/>
      </w:tcPr>
    </w:tblStylePr>
  </w:style>
  <w:style w:type="table" w:styleId="ColorfulGrid-Accent6">
    <w:name w:val="Colorful Grid Accent 6"/>
    <w:basedOn w:val="TableNormal"/>
    <w:uiPriority w:val="73"/>
    <w:semiHidden/>
    <w:rsid w:val="007755BA"/>
    <w:pPr>
      <w:spacing w:line="240" w:lineRule="auto"/>
    </w:pPr>
    <w:tblPr>
      <w:tblStyleRowBandSize w:val="1"/>
      <w:tblStyleColBandSize w:val="1"/>
      <w:tblBorders>
        <w:insideH w:val="single" w:sz="4" w:space="0" w:color="FFFFFF" w:themeColor="background1"/>
      </w:tblBorders>
    </w:tblPr>
    <w:tcPr>
      <w:shd w:val="clear" w:color="auto" w:fill="BCFFFE" w:themeFill="accent6" w:themeFillTint="33"/>
    </w:tcPr>
    <w:tblStylePr w:type="firstRow">
      <w:rPr>
        <w:b/>
        <w:bCs/>
      </w:rPr>
      <w:tblPr/>
      <w:tcPr>
        <w:shd w:val="clear" w:color="auto" w:fill="79FFFD" w:themeFill="accent6" w:themeFillTint="66"/>
      </w:tcPr>
    </w:tblStylePr>
    <w:tblStylePr w:type="lastRow">
      <w:rPr>
        <w:b/>
        <w:bCs/>
        <w:color w:val="000000" w:themeColor="text1"/>
      </w:rPr>
      <w:tblPr/>
      <w:tcPr>
        <w:shd w:val="clear" w:color="auto" w:fill="79FFFD" w:themeFill="accent6" w:themeFillTint="66"/>
      </w:tcPr>
    </w:tblStylePr>
    <w:tblStylePr w:type="firstCol">
      <w:rPr>
        <w:color w:val="FFFFFF" w:themeColor="background1"/>
      </w:rPr>
      <w:tblPr/>
      <w:tcPr>
        <w:shd w:val="clear" w:color="auto" w:fill="008381" w:themeFill="accent6" w:themeFillShade="BF"/>
      </w:tcPr>
    </w:tblStylePr>
    <w:tblStylePr w:type="lastCol">
      <w:rPr>
        <w:color w:val="FFFFFF" w:themeColor="background1"/>
      </w:rPr>
      <w:tblPr/>
      <w:tcPr>
        <w:shd w:val="clear" w:color="auto" w:fill="008381" w:themeFill="accent6" w:themeFillShade="BF"/>
      </w:tcPr>
    </w:tblStylePr>
    <w:tblStylePr w:type="band1Vert">
      <w:tblPr/>
      <w:tcPr>
        <w:shd w:val="clear" w:color="auto" w:fill="58FFFD" w:themeFill="accent6" w:themeFillTint="7F"/>
      </w:tcPr>
    </w:tblStylePr>
    <w:tblStylePr w:type="band1Horz">
      <w:tblPr/>
      <w:tcPr>
        <w:shd w:val="clear" w:color="auto" w:fill="58FFFD" w:themeFill="accent6" w:themeFillTint="7F"/>
      </w:tcPr>
    </w:tblStylePr>
  </w:style>
  <w:style w:type="table" w:styleId="ColorfulList">
    <w:name w:val="Colorful List"/>
    <w:basedOn w:val="TableNormal"/>
    <w:uiPriority w:val="72"/>
    <w:semiHidden/>
    <w:rsid w:val="007755BA"/>
    <w:pPr>
      <w:spacing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56A4" w:themeFill="accent2" w:themeFillShade="CC"/>
      </w:tcPr>
    </w:tblStylePr>
    <w:tblStylePr w:type="lastRow">
      <w:rPr>
        <w:b/>
        <w:bCs/>
        <w:color w:val="0056A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755BA"/>
    <w:pPr>
      <w:spacing w:line="240" w:lineRule="auto"/>
    </w:pPr>
    <w:tblPr>
      <w:tblStyleRowBandSize w:val="1"/>
      <w:tblStyleColBandSize w:val="1"/>
    </w:tblPr>
    <w:tcPr>
      <w:shd w:val="clear" w:color="auto" w:fill="E4F8FF" w:themeFill="accent1" w:themeFillTint="19"/>
    </w:tcPr>
    <w:tblStylePr w:type="firstRow">
      <w:rPr>
        <w:b/>
        <w:bCs/>
        <w:color w:val="FFFFFF" w:themeColor="background1"/>
      </w:rPr>
      <w:tblPr/>
      <w:tcPr>
        <w:tcBorders>
          <w:bottom w:val="single" w:sz="12" w:space="0" w:color="FFFFFF" w:themeColor="background1"/>
        </w:tcBorders>
        <w:shd w:val="clear" w:color="auto" w:fill="0056A4" w:themeFill="accent2" w:themeFillShade="CC"/>
      </w:tcPr>
    </w:tblStylePr>
    <w:tblStylePr w:type="lastRow">
      <w:rPr>
        <w:b/>
        <w:bCs/>
        <w:color w:val="0056A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EEFF" w:themeFill="accent1" w:themeFillTint="3F"/>
      </w:tcPr>
    </w:tblStylePr>
    <w:tblStylePr w:type="band1Horz">
      <w:tblPr/>
      <w:tcPr>
        <w:shd w:val="clear" w:color="auto" w:fill="C8F1FF" w:themeFill="accent1" w:themeFillTint="33"/>
      </w:tcPr>
    </w:tblStylePr>
  </w:style>
  <w:style w:type="table" w:styleId="ColorfulList-Accent2">
    <w:name w:val="Colorful List Accent 2"/>
    <w:basedOn w:val="TableNormal"/>
    <w:uiPriority w:val="72"/>
    <w:semiHidden/>
    <w:rsid w:val="007755BA"/>
    <w:pPr>
      <w:spacing w:line="240" w:lineRule="auto"/>
    </w:pPr>
    <w:tblPr>
      <w:tblStyleRowBandSize w:val="1"/>
      <w:tblStyleColBandSize w:val="1"/>
    </w:tblPr>
    <w:tcPr>
      <w:shd w:val="clear" w:color="auto" w:fill="E1F0FF" w:themeFill="accent2" w:themeFillTint="19"/>
    </w:tcPr>
    <w:tblStylePr w:type="firstRow">
      <w:rPr>
        <w:b/>
        <w:bCs/>
        <w:color w:val="FFFFFF" w:themeColor="background1"/>
      </w:rPr>
      <w:tblPr/>
      <w:tcPr>
        <w:tcBorders>
          <w:bottom w:val="single" w:sz="12" w:space="0" w:color="FFFFFF" w:themeColor="background1"/>
        </w:tcBorders>
        <w:shd w:val="clear" w:color="auto" w:fill="0056A4" w:themeFill="accent2" w:themeFillShade="CC"/>
      </w:tcPr>
    </w:tblStylePr>
    <w:tblStylePr w:type="lastRow">
      <w:rPr>
        <w:b/>
        <w:bCs/>
        <w:color w:val="0056A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BFF" w:themeFill="accent2" w:themeFillTint="3F"/>
      </w:tcPr>
    </w:tblStylePr>
    <w:tblStylePr w:type="band1Horz">
      <w:tblPr/>
      <w:tcPr>
        <w:shd w:val="clear" w:color="auto" w:fill="C2E2FF" w:themeFill="accent2" w:themeFillTint="33"/>
      </w:tcPr>
    </w:tblStylePr>
  </w:style>
  <w:style w:type="table" w:styleId="ColorfulList-Accent3">
    <w:name w:val="Colorful List Accent 3"/>
    <w:basedOn w:val="TableNormal"/>
    <w:uiPriority w:val="72"/>
    <w:semiHidden/>
    <w:rsid w:val="007755BA"/>
    <w:pPr>
      <w:spacing w:line="240" w:lineRule="auto"/>
    </w:pPr>
    <w:tblPr>
      <w:tblStyleRowBandSize w:val="1"/>
      <w:tblStyleColBandSize w:val="1"/>
    </w:tblPr>
    <w:tcPr>
      <w:shd w:val="clear" w:color="auto" w:fill="F2FAFF" w:themeFill="accent3" w:themeFillTint="19"/>
    </w:tcPr>
    <w:tblStylePr w:type="firstRow">
      <w:rPr>
        <w:b/>
        <w:bCs/>
        <w:color w:val="FFFFFF" w:themeColor="background1"/>
      </w:rPr>
      <w:tblPr/>
      <w:tcPr>
        <w:tcBorders>
          <w:bottom w:val="single" w:sz="12" w:space="0" w:color="FFFFFF" w:themeColor="background1"/>
        </w:tcBorders>
        <w:shd w:val="clear" w:color="auto" w:fill="0075BB" w:themeFill="accent4" w:themeFillShade="CC"/>
      </w:tcPr>
    </w:tblStylePr>
    <w:tblStylePr w:type="lastRow">
      <w:rPr>
        <w:b/>
        <w:bCs/>
        <w:color w:val="0075BB"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F3FF" w:themeFill="accent3" w:themeFillTint="3F"/>
      </w:tcPr>
    </w:tblStylePr>
    <w:tblStylePr w:type="band1Horz">
      <w:tblPr/>
      <w:tcPr>
        <w:shd w:val="clear" w:color="auto" w:fill="E5F5FF" w:themeFill="accent3" w:themeFillTint="33"/>
      </w:tcPr>
    </w:tblStylePr>
  </w:style>
  <w:style w:type="table" w:styleId="ColorfulList-Accent4">
    <w:name w:val="Colorful List Accent 4"/>
    <w:basedOn w:val="TableNormal"/>
    <w:uiPriority w:val="72"/>
    <w:semiHidden/>
    <w:rsid w:val="007755BA"/>
    <w:pPr>
      <w:spacing w:line="240" w:lineRule="auto"/>
    </w:pPr>
    <w:tblPr>
      <w:tblStyleRowBandSize w:val="1"/>
      <w:tblStyleColBandSize w:val="1"/>
    </w:tblPr>
    <w:tcPr>
      <w:shd w:val="clear" w:color="auto" w:fill="E3F4FF" w:themeFill="accent4" w:themeFillTint="19"/>
    </w:tcPr>
    <w:tblStylePr w:type="firstRow">
      <w:rPr>
        <w:b/>
        <w:bCs/>
        <w:color w:val="FFFFFF" w:themeColor="background1"/>
      </w:rPr>
      <w:tblPr/>
      <w:tcPr>
        <w:tcBorders>
          <w:bottom w:val="single" w:sz="12" w:space="0" w:color="FFFFFF" w:themeColor="background1"/>
        </w:tcBorders>
        <w:shd w:val="clear" w:color="auto" w:fill="31B7FF" w:themeFill="accent3" w:themeFillShade="CC"/>
      </w:tcPr>
    </w:tblStylePr>
    <w:tblStylePr w:type="lastRow">
      <w:rPr>
        <w:b/>
        <w:bCs/>
        <w:color w:val="31B7FF"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E5FF" w:themeFill="accent4" w:themeFillTint="3F"/>
      </w:tcPr>
    </w:tblStylePr>
    <w:tblStylePr w:type="band1Horz">
      <w:tblPr/>
      <w:tcPr>
        <w:shd w:val="clear" w:color="auto" w:fill="C7EAFF" w:themeFill="accent4" w:themeFillTint="33"/>
      </w:tcPr>
    </w:tblStylePr>
  </w:style>
  <w:style w:type="table" w:styleId="ColorfulList-Accent5">
    <w:name w:val="Colorful List Accent 5"/>
    <w:basedOn w:val="TableNormal"/>
    <w:uiPriority w:val="72"/>
    <w:semiHidden/>
    <w:rsid w:val="007755BA"/>
    <w:pPr>
      <w:spacing w:line="240" w:lineRule="auto"/>
    </w:pPr>
    <w:tblPr>
      <w:tblStyleRowBandSize w:val="1"/>
      <w:tblStyleColBandSize w:val="1"/>
    </w:tblPr>
    <w:tcPr>
      <w:shd w:val="clear" w:color="auto" w:fill="E2EAFA" w:themeFill="accent5" w:themeFillTint="19"/>
    </w:tcPr>
    <w:tblStylePr w:type="firstRow">
      <w:rPr>
        <w:b/>
        <w:bCs/>
        <w:color w:val="FFFFFF" w:themeColor="background1"/>
      </w:rPr>
      <w:tblPr/>
      <w:tcPr>
        <w:tcBorders>
          <w:bottom w:val="single" w:sz="12" w:space="0" w:color="FFFFFF" w:themeColor="background1"/>
        </w:tcBorders>
        <w:shd w:val="clear" w:color="auto" w:fill="008C8A" w:themeFill="accent6" w:themeFillShade="CC"/>
      </w:tcPr>
    </w:tblStylePr>
    <w:tblStylePr w:type="lastRow">
      <w:rPr>
        <w:b/>
        <w:bCs/>
        <w:color w:val="008C8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CBF3" w:themeFill="accent5" w:themeFillTint="3F"/>
      </w:tcPr>
    </w:tblStylePr>
    <w:tblStylePr w:type="band1Horz">
      <w:tblPr/>
      <w:tcPr>
        <w:shd w:val="clear" w:color="auto" w:fill="C5D5F6" w:themeFill="accent5" w:themeFillTint="33"/>
      </w:tcPr>
    </w:tblStylePr>
  </w:style>
  <w:style w:type="table" w:styleId="ColorfulList-Accent6">
    <w:name w:val="Colorful List Accent 6"/>
    <w:basedOn w:val="TableNormal"/>
    <w:uiPriority w:val="72"/>
    <w:semiHidden/>
    <w:rsid w:val="007755BA"/>
    <w:pPr>
      <w:spacing w:line="240" w:lineRule="auto"/>
    </w:pPr>
    <w:tblPr>
      <w:tblStyleRowBandSize w:val="1"/>
      <w:tblStyleColBandSize w:val="1"/>
    </w:tblPr>
    <w:tcPr>
      <w:shd w:val="clear" w:color="auto" w:fill="DEFFFE" w:themeFill="accent6" w:themeFillTint="19"/>
    </w:tcPr>
    <w:tblStylePr w:type="firstRow">
      <w:rPr>
        <w:b/>
        <w:bCs/>
        <w:color w:val="FFFFFF" w:themeColor="background1"/>
      </w:rPr>
      <w:tblPr/>
      <w:tcPr>
        <w:tcBorders>
          <w:bottom w:val="single" w:sz="12" w:space="0" w:color="FFFFFF" w:themeColor="background1"/>
        </w:tcBorders>
        <w:shd w:val="clear" w:color="auto" w:fill="133579" w:themeFill="accent5" w:themeFillShade="CC"/>
      </w:tcPr>
    </w:tblStylePr>
    <w:tblStylePr w:type="lastRow">
      <w:rPr>
        <w:b/>
        <w:bCs/>
        <w:color w:val="13357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E" w:themeFill="accent6" w:themeFillTint="3F"/>
      </w:tcPr>
    </w:tblStylePr>
    <w:tblStylePr w:type="band1Horz">
      <w:tblPr/>
      <w:tcPr>
        <w:shd w:val="clear" w:color="auto" w:fill="BCFFFE" w:themeFill="accent6" w:themeFillTint="33"/>
      </w:tcPr>
    </w:tblStylePr>
  </w:style>
  <w:style w:type="table" w:styleId="ColorfulShading">
    <w:name w:val="Colorful Shading"/>
    <w:basedOn w:val="TableNormal"/>
    <w:uiPriority w:val="71"/>
    <w:semiHidden/>
    <w:rsid w:val="007755BA"/>
    <w:pPr>
      <w:spacing w:line="240" w:lineRule="auto"/>
    </w:pPr>
    <w:tblPr>
      <w:tblStyleRowBandSize w:val="1"/>
      <w:tblStyleColBandSize w:val="1"/>
      <w:tblBorders>
        <w:top w:val="single" w:sz="24" w:space="0" w:color="006CC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6CC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755BA"/>
    <w:pPr>
      <w:spacing w:line="240" w:lineRule="auto"/>
    </w:pPr>
    <w:tblPr>
      <w:tblStyleRowBandSize w:val="1"/>
      <w:tblStyleColBandSize w:val="1"/>
      <w:tblBorders>
        <w:top w:val="single" w:sz="24" w:space="0" w:color="006CCD" w:themeColor="accent2"/>
        <w:left w:val="single" w:sz="4" w:space="0" w:color="00B4EE" w:themeColor="accent1"/>
        <w:bottom w:val="single" w:sz="4" w:space="0" w:color="00B4EE" w:themeColor="accent1"/>
        <w:right w:val="single" w:sz="4" w:space="0" w:color="00B4EE" w:themeColor="accent1"/>
        <w:insideH w:val="single" w:sz="4" w:space="0" w:color="FFFFFF" w:themeColor="background1"/>
        <w:insideV w:val="single" w:sz="4" w:space="0" w:color="FFFFFF" w:themeColor="background1"/>
      </w:tblBorders>
    </w:tblPr>
    <w:tcPr>
      <w:shd w:val="clear" w:color="auto" w:fill="E4F8FF" w:themeFill="accent1" w:themeFillTint="19"/>
    </w:tcPr>
    <w:tblStylePr w:type="firstRow">
      <w:rPr>
        <w:b/>
        <w:bCs/>
      </w:rPr>
      <w:tblPr/>
      <w:tcPr>
        <w:tcBorders>
          <w:top w:val="nil"/>
          <w:left w:val="nil"/>
          <w:bottom w:val="single" w:sz="24" w:space="0" w:color="006CC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B8E" w:themeFill="accent1" w:themeFillShade="99"/>
      </w:tcPr>
    </w:tblStylePr>
    <w:tblStylePr w:type="firstCol">
      <w:rPr>
        <w:color w:val="FFFFFF" w:themeColor="background1"/>
      </w:rPr>
      <w:tblPr/>
      <w:tcPr>
        <w:tcBorders>
          <w:top w:val="nil"/>
          <w:left w:val="nil"/>
          <w:bottom w:val="nil"/>
          <w:right w:val="nil"/>
          <w:insideH w:val="single" w:sz="4" w:space="0" w:color="006B8E" w:themeColor="accent1" w:themeShade="99"/>
          <w:insideV w:val="nil"/>
        </w:tcBorders>
        <w:shd w:val="clear" w:color="auto" w:fill="006B8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B8E" w:themeFill="accent1" w:themeFillShade="99"/>
      </w:tcPr>
    </w:tblStylePr>
    <w:tblStylePr w:type="band1Vert">
      <w:tblPr/>
      <w:tcPr>
        <w:shd w:val="clear" w:color="auto" w:fill="92E4FF" w:themeFill="accent1" w:themeFillTint="66"/>
      </w:tcPr>
    </w:tblStylePr>
    <w:tblStylePr w:type="band1Horz">
      <w:tblPr/>
      <w:tcPr>
        <w:shd w:val="clear" w:color="auto" w:fill="77D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755BA"/>
    <w:pPr>
      <w:spacing w:line="240" w:lineRule="auto"/>
    </w:pPr>
    <w:tblPr>
      <w:tblStyleRowBandSize w:val="1"/>
      <w:tblStyleColBandSize w:val="1"/>
      <w:tblBorders>
        <w:top w:val="single" w:sz="24" w:space="0" w:color="006CCD" w:themeColor="accent2"/>
        <w:left w:val="single" w:sz="4" w:space="0" w:color="006CCD" w:themeColor="accent2"/>
        <w:bottom w:val="single" w:sz="4" w:space="0" w:color="006CCD" w:themeColor="accent2"/>
        <w:right w:val="single" w:sz="4" w:space="0" w:color="006CCD" w:themeColor="accent2"/>
        <w:insideH w:val="single" w:sz="4" w:space="0" w:color="FFFFFF" w:themeColor="background1"/>
        <w:insideV w:val="single" w:sz="4" w:space="0" w:color="FFFFFF" w:themeColor="background1"/>
      </w:tblBorders>
    </w:tblPr>
    <w:tcPr>
      <w:shd w:val="clear" w:color="auto" w:fill="E1F0FF" w:themeFill="accent2" w:themeFillTint="19"/>
    </w:tcPr>
    <w:tblStylePr w:type="firstRow">
      <w:rPr>
        <w:b/>
        <w:bCs/>
      </w:rPr>
      <w:tblPr/>
      <w:tcPr>
        <w:tcBorders>
          <w:top w:val="nil"/>
          <w:left w:val="nil"/>
          <w:bottom w:val="single" w:sz="24" w:space="0" w:color="006CC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07B" w:themeFill="accent2" w:themeFillShade="99"/>
      </w:tcPr>
    </w:tblStylePr>
    <w:tblStylePr w:type="firstCol">
      <w:rPr>
        <w:color w:val="FFFFFF" w:themeColor="background1"/>
      </w:rPr>
      <w:tblPr/>
      <w:tcPr>
        <w:tcBorders>
          <w:top w:val="nil"/>
          <w:left w:val="nil"/>
          <w:bottom w:val="nil"/>
          <w:right w:val="nil"/>
          <w:insideH w:val="single" w:sz="4" w:space="0" w:color="00407B" w:themeColor="accent2" w:themeShade="99"/>
          <w:insideV w:val="nil"/>
        </w:tcBorders>
        <w:shd w:val="clear" w:color="auto" w:fill="00407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407B" w:themeFill="accent2" w:themeFillShade="99"/>
      </w:tcPr>
    </w:tblStylePr>
    <w:tblStylePr w:type="band1Vert">
      <w:tblPr/>
      <w:tcPr>
        <w:shd w:val="clear" w:color="auto" w:fill="85C5FF" w:themeFill="accent2" w:themeFillTint="66"/>
      </w:tcPr>
    </w:tblStylePr>
    <w:tblStylePr w:type="band1Horz">
      <w:tblPr/>
      <w:tcPr>
        <w:shd w:val="clear" w:color="auto" w:fill="67B6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755BA"/>
    <w:pPr>
      <w:spacing w:line="240" w:lineRule="auto"/>
    </w:pPr>
    <w:tblPr>
      <w:tblStyleRowBandSize w:val="1"/>
      <w:tblStyleColBandSize w:val="1"/>
      <w:tblBorders>
        <w:top w:val="single" w:sz="24" w:space="0" w:color="0093EA" w:themeColor="accent4"/>
        <w:left w:val="single" w:sz="4" w:space="0" w:color="7ED2FF" w:themeColor="accent3"/>
        <w:bottom w:val="single" w:sz="4" w:space="0" w:color="7ED2FF" w:themeColor="accent3"/>
        <w:right w:val="single" w:sz="4" w:space="0" w:color="7ED2FF" w:themeColor="accent3"/>
        <w:insideH w:val="single" w:sz="4" w:space="0" w:color="FFFFFF" w:themeColor="background1"/>
        <w:insideV w:val="single" w:sz="4" w:space="0" w:color="FFFFFF" w:themeColor="background1"/>
      </w:tblBorders>
    </w:tblPr>
    <w:tcPr>
      <w:shd w:val="clear" w:color="auto" w:fill="F2FAFF" w:themeFill="accent3" w:themeFillTint="19"/>
    </w:tcPr>
    <w:tblStylePr w:type="firstRow">
      <w:rPr>
        <w:b/>
        <w:bCs/>
      </w:rPr>
      <w:tblPr/>
      <w:tcPr>
        <w:tcBorders>
          <w:top w:val="nil"/>
          <w:left w:val="nil"/>
          <w:bottom w:val="single" w:sz="24" w:space="0" w:color="0093EA"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94E4" w:themeFill="accent3" w:themeFillShade="99"/>
      </w:tcPr>
    </w:tblStylePr>
    <w:tblStylePr w:type="firstCol">
      <w:rPr>
        <w:color w:val="FFFFFF" w:themeColor="background1"/>
      </w:rPr>
      <w:tblPr/>
      <w:tcPr>
        <w:tcBorders>
          <w:top w:val="nil"/>
          <w:left w:val="nil"/>
          <w:bottom w:val="nil"/>
          <w:right w:val="nil"/>
          <w:insideH w:val="single" w:sz="4" w:space="0" w:color="0094E4" w:themeColor="accent3" w:themeShade="99"/>
          <w:insideV w:val="nil"/>
        </w:tcBorders>
        <w:shd w:val="clear" w:color="auto" w:fill="0094E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94E4" w:themeFill="accent3" w:themeFillShade="99"/>
      </w:tcPr>
    </w:tblStylePr>
    <w:tblStylePr w:type="band1Vert">
      <w:tblPr/>
      <w:tcPr>
        <w:shd w:val="clear" w:color="auto" w:fill="CBECFF" w:themeFill="accent3" w:themeFillTint="66"/>
      </w:tcPr>
    </w:tblStylePr>
    <w:tblStylePr w:type="band1Horz">
      <w:tblPr/>
      <w:tcPr>
        <w:shd w:val="clear" w:color="auto" w:fill="BEE8FF" w:themeFill="accent3" w:themeFillTint="7F"/>
      </w:tcPr>
    </w:tblStylePr>
  </w:style>
  <w:style w:type="table" w:styleId="ColorfulShading-Accent4">
    <w:name w:val="Colorful Shading Accent 4"/>
    <w:basedOn w:val="TableNormal"/>
    <w:uiPriority w:val="71"/>
    <w:semiHidden/>
    <w:rsid w:val="007755BA"/>
    <w:pPr>
      <w:spacing w:line="240" w:lineRule="auto"/>
    </w:pPr>
    <w:tblPr>
      <w:tblStyleRowBandSize w:val="1"/>
      <w:tblStyleColBandSize w:val="1"/>
      <w:tblBorders>
        <w:top w:val="single" w:sz="24" w:space="0" w:color="7ED2FF" w:themeColor="accent3"/>
        <w:left w:val="single" w:sz="4" w:space="0" w:color="0093EA" w:themeColor="accent4"/>
        <w:bottom w:val="single" w:sz="4" w:space="0" w:color="0093EA" w:themeColor="accent4"/>
        <w:right w:val="single" w:sz="4" w:space="0" w:color="0093EA" w:themeColor="accent4"/>
        <w:insideH w:val="single" w:sz="4" w:space="0" w:color="FFFFFF" w:themeColor="background1"/>
        <w:insideV w:val="single" w:sz="4" w:space="0" w:color="FFFFFF" w:themeColor="background1"/>
      </w:tblBorders>
    </w:tblPr>
    <w:tcPr>
      <w:shd w:val="clear" w:color="auto" w:fill="E3F4FF" w:themeFill="accent4" w:themeFillTint="19"/>
    </w:tcPr>
    <w:tblStylePr w:type="firstRow">
      <w:rPr>
        <w:b/>
        <w:bCs/>
      </w:rPr>
      <w:tblPr/>
      <w:tcPr>
        <w:tcBorders>
          <w:top w:val="nil"/>
          <w:left w:val="nil"/>
          <w:bottom w:val="single" w:sz="24" w:space="0" w:color="7ED2F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88C" w:themeFill="accent4" w:themeFillShade="99"/>
      </w:tcPr>
    </w:tblStylePr>
    <w:tblStylePr w:type="firstCol">
      <w:rPr>
        <w:color w:val="FFFFFF" w:themeColor="background1"/>
      </w:rPr>
      <w:tblPr/>
      <w:tcPr>
        <w:tcBorders>
          <w:top w:val="nil"/>
          <w:left w:val="nil"/>
          <w:bottom w:val="nil"/>
          <w:right w:val="nil"/>
          <w:insideH w:val="single" w:sz="4" w:space="0" w:color="00588C" w:themeColor="accent4" w:themeShade="99"/>
          <w:insideV w:val="nil"/>
        </w:tcBorders>
        <w:shd w:val="clear" w:color="auto" w:fill="00588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588C" w:themeFill="accent4" w:themeFillShade="99"/>
      </w:tcPr>
    </w:tblStylePr>
    <w:tblStylePr w:type="band1Vert">
      <w:tblPr/>
      <w:tcPr>
        <w:shd w:val="clear" w:color="auto" w:fill="90D5FF" w:themeFill="accent4" w:themeFillTint="66"/>
      </w:tcPr>
    </w:tblStylePr>
    <w:tblStylePr w:type="band1Horz">
      <w:tblPr/>
      <w:tcPr>
        <w:shd w:val="clear" w:color="auto" w:fill="75CBF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755BA"/>
    <w:pPr>
      <w:spacing w:line="240" w:lineRule="auto"/>
    </w:pPr>
    <w:tblPr>
      <w:tblStyleRowBandSize w:val="1"/>
      <w:tblStyleColBandSize w:val="1"/>
      <w:tblBorders>
        <w:top w:val="single" w:sz="24" w:space="0" w:color="00AFAE" w:themeColor="accent6"/>
        <w:left w:val="single" w:sz="4" w:space="0" w:color="184398" w:themeColor="accent5"/>
        <w:bottom w:val="single" w:sz="4" w:space="0" w:color="184398" w:themeColor="accent5"/>
        <w:right w:val="single" w:sz="4" w:space="0" w:color="184398" w:themeColor="accent5"/>
        <w:insideH w:val="single" w:sz="4" w:space="0" w:color="FFFFFF" w:themeColor="background1"/>
        <w:insideV w:val="single" w:sz="4" w:space="0" w:color="FFFFFF" w:themeColor="background1"/>
      </w:tblBorders>
    </w:tblPr>
    <w:tcPr>
      <w:shd w:val="clear" w:color="auto" w:fill="E2EAFA" w:themeFill="accent5" w:themeFillTint="19"/>
    </w:tcPr>
    <w:tblStylePr w:type="firstRow">
      <w:rPr>
        <w:b/>
        <w:bCs/>
      </w:rPr>
      <w:tblPr/>
      <w:tcPr>
        <w:tcBorders>
          <w:top w:val="nil"/>
          <w:left w:val="nil"/>
          <w:bottom w:val="single" w:sz="24" w:space="0" w:color="00AFA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E275A" w:themeFill="accent5" w:themeFillShade="99"/>
      </w:tcPr>
    </w:tblStylePr>
    <w:tblStylePr w:type="firstCol">
      <w:rPr>
        <w:color w:val="FFFFFF" w:themeColor="background1"/>
      </w:rPr>
      <w:tblPr/>
      <w:tcPr>
        <w:tcBorders>
          <w:top w:val="nil"/>
          <w:left w:val="nil"/>
          <w:bottom w:val="nil"/>
          <w:right w:val="nil"/>
          <w:insideH w:val="single" w:sz="4" w:space="0" w:color="0E275A" w:themeColor="accent5" w:themeShade="99"/>
          <w:insideV w:val="nil"/>
        </w:tcBorders>
        <w:shd w:val="clear" w:color="auto" w:fill="0E275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E275A" w:themeFill="accent5" w:themeFillShade="99"/>
      </w:tcPr>
    </w:tblStylePr>
    <w:tblStylePr w:type="band1Vert">
      <w:tblPr/>
      <w:tcPr>
        <w:shd w:val="clear" w:color="auto" w:fill="8BABEC" w:themeFill="accent5" w:themeFillTint="66"/>
      </w:tcPr>
    </w:tblStylePr>
    <w:tblStylePr w:type="band1Horz">
      <w:tblPr/>
      <w:tcPr>
        <w:shd w:val="clear" w:color="auto" w:fill="6F97E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755BA"/>
    <w:pPr>
      <w:spacing w:line="240" w:lineRule="auto"/>
    </w:pPr>
    <w:tblPr>
      <w:tblStyleRowBandSize w:val="1"/>
      <w:tblStyleColBandSize w:val="1"/>
      <w:tblBorders>
        <w:top w:val="single" w:sz="24" w:space="0" w:color="184398" w:themeColor="accent5"/>
        <w:left w:val="single" w:sz="4" w:space="0" w:color="00AFAE" w:themeColor="accent6"/>
        <w:bottom w:val="single" w:sz="4" w:space="0" w:color="00AFAE" w:themeColor="accent6"/>
        <w:right w:val="single" w:sz="4" w:space="0" w:color="00AFAE" w:themeColor="accent6"/>
        <w:insideH w:val="single" w:sz="4" w:space="0" w:color="FFFFFF" w:themeColor="background1"/>
        <w:insideV w:val="single" w:sz="4" w:space="0" w:color="FFFFFF" w:themeColor="background1"/>
      </w:tblBorders>
    </w:tblPr>
    <w:tcPr>
      <w:shd w:val="clear" w:color="auto" w:fill="DEFFFE" w:themeFill="accent6" w:themeFillTint="19"/>
    </w:tcPr>
    <w:tblStylePr w:type="firstRow">
      <w:rPr>
        <w:b/>
        <w:bCs/>
      </w:rPr>
      <w:tblPr/>
      <w:tcPr>
        <w:tcBorders>
          <w:top w:val="nil"/>
          <w:left w:val="nil"/>
          <w:bottom w:val="single" w:sz="24" w:space="0" w:color="18439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968" w:themeFill="accent6" w:themeFillShade="99"/>
      </w:tcPr>
    </w:tblStylePr>
    <w:tblStylePr w:type="firstCol">
      <w:rPr>
        <w:color w:val="FFFFFF" w:themeColor="background1"/>
      </w:rPr>
      <w:tblPr/>
      <w:tcPr>
        <w:tcBorders>
          <w:top w:val="nil"/>
          <w:left w:val="nil"/>
          <w:bottom w:val="nil"/>
          <w:right w:val="nil"/>
          <w:insideH w:val="single" w:sz="4" w:space="0" w:color="006968" w:themeColor="accent6" w:themeShade="99"/>
          <w:insideV w:val="nil"/>
        </w:tcBorders>
        <w:shd w:val="clear" w:color="auto" w:fill="00696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6968" w:themeFill="accent6" w:themeFillShade="99"/>
      </w:tcPr>
    </w:tblStylePr>
    <w:tblStylePr w:type="band1Vert">
      <w:tblPr/>
      <w:tcPr>
        <w:shd w:val="clear" w:color="auto" w:fill="79FFFD" w:themeFill="accent6" w:themeFillTint="66"/>
      </w:tcPr>
    </w:tblStylePr>
    <w:tblStylePr w:type="band1Horz">
      <w:tblPr/>
      <w:tcPr>
        <w:shd w:val="clear" w:color="auto" w:fill="58FFFD"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7755BA"/>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755BA"/>
    <w:pPr>
      <w:spacing w:line="240" w:lineRule="auto"/>
    </w:pPr>
    <w:rPr>
      <w:color w:val="FFFFFF" w:themeColor="background1"/>
    </w:rPr>
    <w:tblPr>
      <w:tblStyleRowBandSize w:val="1"/>
      <w:tblStyleColBandSize w:val="1"/>
    </w:tblPr>
    <w:tcPr>
      <w:shd w:val="clear" w:color="auto" w:fill="00B4E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97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6B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6B2" w:themeFill="accent1" w:themeFillShade="BF"/>
      </w:tcPr>
    </w:tblStylePr>
    <w:tblStylePr w:type="band1Vert">
      <w:tblPr/>
      <w:tcPr>
        <w:tcBorders>
          <w:top w:val="nil"/>
          <w:left w:val="nil"/>
          <w:bottom w:val="nil"/>
          <w:right w:val="nil"/>
          <w:insideH w:val="nil"/>
          <w:insideV w:val="nil"/>
        </w:tcBorders>
        <w:shd w:val="clear" w:color="auto" w:fill="0086B2" w:themeFill="accent1" w:themeFillShade="BF"/>
      </w:tcPr>
    </w:tblStylePr>
    <w:tblStylePr w:type="band1Horz">
      <w:tblPr/>
      <w:tcPr>
        <w:tcBorders>
          <w:top w:val="nil"/>
          <w:left w:val="nil"/>
          <w:bottom w:val="nil"/>
          <w:right w:val="nil"/>
          <w:insideH w:val="nil"/>
          <w:insideV w:val="nil"/>
        </w:tcBorders>
        <w:shd w:val="clear" w:color="auto" w:fill="0086B2" w:themeFill="accent1" w:themeFillShade="BF"/>
      </w:tcPr>
    </w:tblStylePr>
  </w:style>
  <w:style w:type="table" w:styleId="DarkList-Accent2">
    <w:name w:val="Dark List Accent 2"/>
    <w:basedOn w:val="TableNormal"/>
    <w:uiPriority w:val="70"/>
    <w:semiHidden/>
    <w:rsid w:val="007755BA"/>
    <w:pPr>
      <w:spacing w:line="240" w:lineRule="auto"/>
    </w:pPr>
    <w:rPr>
      <w:color w:val="FFFFFF" w:themeColor="background1"/>
    </w:rPr>
    <w:tblPr>
      <w:tblStyleRowBandSize w:val="1"/>
      <w:tblStyleColBandSize w:val="1"/>
    </w:tblPr>
    <w:tcPr>
      <w:shd w:val="clear" w:color="auto" w:fill="006CC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56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509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5099" w:themeFill="accent2" w:themeFillShade="BF"/>
      </w:tcPr>
    </w:tblStylePr>
    <w:tblStylePr w:type="band1Vert">
      <w:tblPr/>
      <w:tcPr>
        <w:tcBorders>
          <w:top w:val="nil"/>
          <w:left w:val="nil"/>
          <w:bottom w:val="nil"/>
          <w:right w:val="nil"/>
          <w:insideH w:val="nil"/>
          <w:insideV w:val="nil"/>
        </w:tcBorders>
        <w:shd w:val="clear" w:color="auto" w:fill="005099" w:themeFill="accent2" w:themeFillShade="BF"/>
      </w:tcPr>
    </w:tblStylePr>
    <w:tblStylePr w:type="band1Horz">
      <w:tblPr/>
      <w:tcPr>
        <w:tcBorders>
          <w:top w:val="nil"/>
          <w:left w:val="nil"/>
          <w:bottom w:val="nil"/>
          <w:right w:val="nil"/>
          <w:insideH w:val="nil"/>
          <w:insideV w:val="nil"/>
        </w:tcBorders>
        <w:shd w:val="clear" w:color="auto" w:fill="005099" w:themeFill="accent2" w:themeFillShade="BF"/>
      </w:tcPr>
    </w:tblStylePr>
  </w:style>
  <w:style w:type="table" w:styleId="DarkList-Accent3">
    <w:name w:val="Dark List Accent 3"/>
    <w:basedOn w:val="TableNormal"/>
    <w:uiPriority w:val="70"/>
    <w:semiHidden/>
    <w:rsid w:val="007755BA"/>
    <w:pPr>
      <w:spacing w:line="240" w:lineRule="auto"/>
    </w:pPr>
    <w:rPr>
      <w:color w:val="FFFFFF" w:themeColor="background1"/>
    </w:rPr>
    <w:tblPr>
      <w:tblStyleRowBandSize w:val="1"/>
      <w:tblStyleColBandSize w:val="1"/>
    </w:tblPr>
    <w:tcPr>
      <w:shd w:val="clear" w:color="auto" w:fill="7ED2F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7BB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EB0F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EB0FF" w:themeFill="accent3" w:themeFillShade="BF"/>
      </w:tcPr>
    </w:tblStylePr>
    <w:tblStylePr w:type="band1Vert">
      <w:tblPr/>
      <w:tcPr>
        <w:tcBorders>
          <w:top w:val="nil"/>
          <w:left w:val="nil"/>
          <w:bottom w:val="nil"/>
          <w:right w:val="nil"/>
          <w:insideH w:val="nil"/>
          <w:insideV w:val="nil"/>
        </w:tcBorders>
        <w:shd w:val="clear" w:color="auto" w:fill="1EB0FF" w:themeFill="accent3" w:themeFillShade="BF"/>
      </w:tcPr>
    </w:tblStylePr>
    <w:tblStylePr w:type="band1Horz">
      <w:tblPr/>
      <w:tcPr>
        <w:tcBorders>
          <w:top w:val="nil"/>
          <w:left w:val="nil"/>
          <w:bottom w:val="nil"/>
          <w:right w:val="nil"/>
          <w:insideH w:val="nil"/>
          <w:insideV w:val="nil"/>
        </w:tcBorders>
        <w:shd w:val="clear" w:color="auto" w:fill="1EB0FF" w:themeFill="accent3" w:themeFillShade="BF"/>
      </w:tcPr>
    </w:tblStylePr>
  </w:style>
  <w:style w:type="table" w:styleId="DarkList-Accent4">
    <w:name w:val="Dark List Accent 4"/>
    <w:basedOn w:val="TableNormal"/>
    <w:uiPriority w:val="70"/>
    <w:semiHidden/>
    <w:rsid w:val="007755BA"/>
    <w:pPr>
      <w:spacing w:line="240" w:lineRule="auto"/>
    </w:pPr>
    <w:rPr>
      <w:color w:val="FFFFFF" w:themeColor="background1"/>
    </w:rPr>
    <w:tblPr>
      <w:tblStyleRowBandSize w:val="1"/>
      <w:tblStyleColBandSize w:val="1"/>
    </w:tblPr>
    <w:tcPr>
      <w:shd w:val="clear" w:color="auto" w:fill="0093EA"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87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6DA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6DAF" w:themeFill="accent4" w:themeFillShade="BF"/>
      </w:tcPr>
    </w:tblStylePr>
    <w:tblStylePr w:type="band1Vert">
      <w:tblPr/>
      <w:tcPr>
        <w:tcBorders>
          <w:top w:val="nil"/>
          <w:left w:val="nil"/>
          <w:bottom w:val="nil"/>
          <w:right w:val="nil"/>
          <w:insideH w:val="nil"/>
          <w:insideV w:val="nil"/>
        </w:tcBorders>
        <w:shd w:val="clear" w:color="auto" w:fill="006DAF" w:themeFill="accent4" w:themeFillShade="BF"/>
      </w:tcPr>
    </w:tblStylePr>
    <w:tblStylePr w:type="band1Horz">
      <w:tblPr/>
      <w:tcPr>
        <w:tcBorders>
          <w:top w:val="nil"/>
          <w:left w:val="nil"/>
          <w:bottom w:val="nil"/>
          <w:right w:val="nil"/>
          <w:insideH w:val="nil"/>
          <w:insideV w:val="nil"/>
        </w:tcBorders>
        <w:shd w:val="clear" w:color="auto" w:fill="006DAF" w:themeFill="accent4" w:themeFillShade="BF"/>
      </w:tcPr>
    </w:tblStylePr>
  </w:style>
  <w:style w:type="table" w:styleId="DarkList-Accent5">
    <w:name w:val="Dark List Accent 5"/>
    <w:basedOn w:val="TableNormal"/>
    <w:uiPriority w:val="70"/>
    <w:semiHidden/>
    <w:rsid w:val="007755BA"/>
    <w:pPr>
      <w:spacing w:line="240" w:lineRule="auto"/>
    </w:pPr>
    <w:rPr>
      <w:color w:val="FFFFFF" w:themeColor="background1"/>
    </w:rPr>
    <w:tblPr>
      <w:tblStyleRowBandSize w:val="1"/>
      <w:tblStyleColBandSize w:val="1"/>
    </w:tblPr>
    <w:tcPr>
      <w:shd w:val="clear" w:color="auto" w:fill="18439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214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12317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123171" w:themeFill="accent5" w:themeFillShade="BF"/>
      </w:tcPr>
    </w:tblStylePr>
    <w:tblStylePr w:type="band1Vert">
      <w:tblPr/>
      <w:tcPr>
        <w:tcBorders>
          <w:top w:val="nil"/>
          <w:left w:val="nil"/>
          <w:bottom w:val="nil"/>
          <w:right w:val="nil"/>
          <w:insideH w:val="nil"/>
          <w:insideV w:val="nil"/>
        </w:tcBorders>
        <w:shd w:val="clear" w:color="auto" w:fill="123171" w:themeFill="accent5" w:themeFillShade="BF"/>
      </w:tcPr>
    </w:tblStylePr>
    <w:tblStylePr w:type="band1Horz">
      <w:tblPr/>
      <w:tcPr>
        <w:tcBorders>
          <w:top w:val="nil"/>
          <w:left w:val="nil"/>
          <w:bottom w:val="nil"/>
          <w:right w:val="nil"/>
          <w:insideH w:val="nil"/>
          <w:insideV w:val="nil"/>
        </w:tcBorders>
        <w:shd w:val="clear" w:color="auto" w:fill="123171" w:themeFill="accent5" w:themeFillShade="BF"/>
      </w:tcPr>
    </w:tblStylePr>
  </w:style>
  <w:style w:type="table" w:styleId="DarkList-Accent6">
    <w:name w:val="Dark List Accent 6"/>
    <w:basedOn w:val="TableNormal"/>
    <w:uiPriority w:val="70"/>
    <w:semiHidden/>
    <w:rsid w:val="007755BA"/>
    <w:pPr>
      <w:spacing w:line="240" w:lineRule="auto"/>
    </w:pPr>
    <w:rPr>
      <w:color w:val="FFFFFF" w:themeColor="background1"/>
    </w:rPr>
    <w:tblPr>
      <w:tblStyleRowBandSize w:val="1"/>
      <w:tblStyleColBandSize w:val="1"/>
    </w:tblPr>
    <w:tcPr>
      <w:shd w:val="clear" w:color="auto" w:fill="00AFA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75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838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8381" w:themeFill="accent6" w:themeFillShade="BF"/>
      </w:tcPr>
    </w:tblStylePr>
    <w:tblStylePr w:type="band1Vert">
      <w:tblPr/>
      <w:tcPr>
        <w:tcBorders>
          <w:top w:val="nil"/>
          <w:left w:val="nil"/>
          <w:bottom w:val="nil"/>
          <w:right w:val="nil"/>
          <w:insideH w:val="nil"/>
          <w:insideV w:val="nil"/>
        </w:tcBorders>
        <w:shd w:val="clear" w:color="auto" w:fill="008381" w:themeFill="accent6" w:themeFillShade="BF"/>
      </w:tcPr>
    </w:tblStylePr>
    <w:tblStylePr w:type="band1Horz">
      <w:tblPr/>
      <w:tcPr>
        <w:tcBorders>
          <w:top w:val="nil"/>
          <w:left w:val="nil"/>
          <w:bottom w:val="nil"/>
          <w:right w:val="nil"/>
          <w:insideH w:val="nil"/>
          <w:insideV w:val="nil"/>
        </w:tcBorders>
        <w:shd w:val="clear" w:color="auto" w:fill="008381" w:themeFill="accent6" w:themeFillShade="BF"/>
      </w:tcPr>
    </w:tblStylePr>
  </w:style>
  <w:style w:type="table" w:styleId="GridTable1Light">
    <w:name w:val="Grid Table 1 Light"/>
    <w:basedOn w:val="TableNormal"/>
    <w:uiPriority w:val="46"/>
    <w:rsid w:val="007755BA"/>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755BA"/>
    <w:pPr>
      <w:spacing w:line="240" w:lineRule="auto"/>
    </w:pPr>
    <w:tblPr>
      <w:tblStyleRowBandSize w:val="1"/>
      <w:tblStyleColBandSize w:val="1"/>
      <w:tblBorders>
        <w:top w:val="single" w:sz="4" w:space="0" w:color="92E4FF" w:themeColor="accent1" w:themeTint="66"/>
        <w:left w:val="single" w:sz="4" w:space="0" w:color="92E4FF" w:themeColor="accent1" w:themeTint="66"/>
        <w:bottom w:val="single" w:sz="4" w:space="0" w:color="92E4FF" w:themeColor="accent1" w:themeTint="66"/>
        <w:right w:val="single" w:sz="4" w:space="0" w:color="92E4FF" w:themeColor="accent1" w:themeTint="66"/>
        <w:insideH w:val="single" w:sz="4" w:space="0" w:color="92E4FF" w:themeColor="accent1" w:themeTint="66"/>
        <w:insideV w:val="single" w:sz="4" w:space="0" w:color="92E4FF" w:themeColor="accent1" w:themeTint="66"/>
      </w:tblBorders>
    </w:tblPr>
    <w:tblStylePr w:type="firstRow">
      <w:rPr>
        <w:b/>
        <w:bCs/>
      </w:rPr>
      <w:tblPr/>
      <w:tcPr>
        <w:tcBorders>
          <w:bottom w:val="single" w:sz="12" w:space="0" w:color="5BD6FF" w:themeColor="accent1" w:themeTint="99"/>
        </w:tcBorders>
      </w:tcPr>
    </w:tblStylePr>
    <w:tblStylePr w:type="lastRow">
      <w:rPr>
        <w:b/>
        <w:bCs/>
      </w:rPr>
      <w:tblPr/>
      <w:tcPr>
        <w:tcBorders>
          <w:top w:val="double" w:sz="2" w:space="0" w:color="5BD6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755BA"/>
    <w:pPr>
      <w:spacing w:line="240" w:lineRule="auto"/>
    </w:pPr>
    <w:tblPr>
      <w:tblStyleRowBandSize w:val="1"/>
      <w:tblStyleColBandSize w:val="1"/>
      <w:tblBorders>
        <w:top w:val="single" w:sz="4" w:space="0" w:color="85C5FF" w:themeColor="accent2" w:themeTint="66"/>
        <w:left w:val="single" w:sz="4" w:space="0" w:color="85C5FF" w:themeColor="accent2" w:themeTint="66"/>
        <w:bottom w:val="single" w:sz="4" w:space="0" w:color="85C5FF" w:themeColor="accent2" w:themeTint="66"/>
        <w:right w:val="single" w:sz="4" w:space="0" w:color="85C5FF" w:themeColor="accent2" w:themeTint="66"/>
        <w:insideH w:val="single" w:sz="4" w:space="0" w:color="85C5FF" w:themeColor="accent2" w:themeTint="66"/>
        <w:insideV w:val="single" w:sz="4" w:space="0" w:color="85C5FF" w:themeColor="accent2" w:themeTint="66"/>
      </w:tblBorders>
    </w:tblPr>
    <w:tblStylePr w:type="firstRow">
      <w:rPr>
        <w:b/>
        <w:bCs/>
      </w:rPr>
      <w:tblPr/>
      <w:tcPr>
        <w:tcBorders>
          <w:bottom w:val="single" w:sz="12" w:space="0" w:color="48A8FF" w:themeColor="accent2" w:themeTint="99"/>
        </w:tcBorders>
      </w:tcPr>
    </w:tblStylePr>
    <w:tblStylePr w:type="lastRow">
      <w:rPr>
        <w:b/>
        <w:bCs/>
      </w:rPr>
      <w:tblPr/>
      <w:tcPr>
        <w:tcBorders>
          <w:top w:val="double" w:sz="2" w:space="0" w:color="48A8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755BA"/>
    <w:pPr>
      <w:spacing w:line="240" w:lineRule="auto"/>
    </w:pPr>
    <w:tblPr>
      <w:tblStyleRowBandSize w:val="1"/>
      <w:tblStyleColBandSize w:val="1"/>
      <w:tblBorders>
        <w:top w:val="single" w:sz="4" w:space="0" w:color="CBECFF" w:themeColor="accent3" w:themeTint="66"/>
        <w:left w:val="single" w:sz="4" w:space="0" w:color="CBECFF" w:themeColor="accent3" w:themeTint="66"/>
        <w:bottom w:val="single" w:sz="4" w:space="0" w:color="CBECFF" w:themeColor="accent3" w:themeTint="66"/>
        <w:right w:val="single" w:sz="4" w:space="0" w:color="CBECFF" w:themeColor="accent3" w:themeTint="66"/>
        <w:insideH w:val="single" w:sz="4" w:space="0" w:color="CBECFF" w:themeColor="accent3" w:themeTint="66"/>
        <w:insideV w:val="single" w:sz="4" w:space="0" w:color="CBECFF" w:themeColor="accent3" w:themeTint="66"/>
      </w:tblBorders>
    </w:tblPr>
    <w:tblStylePr w:type="firstRow">
      <w:rPr>
        <w:b/>
        <w:bCs/>
      </w:rPr>
      <w:tblPr/>
      <w:tcPr>
        <w:tcBorders>
          <w:bottom w:val="single" w:sz="12" w:space="0" w:color="B1E3FF" w:themeColor="accent3" w:themeTint="99"/>
        </w:tcBorders>
      </w:tcPr>
    </w:tblStylePr>
    <w:tblStylePr w:type="lastRow">
      <w:rPr>
        <w:b/>
        <w:bCs/>
      </w:rPr>
      <w:tblPr/>
      <w:tcPr>
        <w:tcBorders>
          <w:top w:val="double" w:sz="2" w:space="0" w:color="B1E3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755BA"/>
    <w:pPr>
      <w:spacing w:line="240" w:lineRule="auto"/>
    </w:pPr>
    <w:tblPr>
      <w:tblStyleRowBandSize w:val="1"/>
      <w:tblStyleColBandSize w:val="1"/>
      <w:tblBorders>
        <w:top w:val="single" w:sz="4" w:space="0" w:color="90D5FF" w:themeColor="accent4" w:themeTint="66"/>
        <w:left w:val="single" w:sz="4" w:space="0" w:color="90D5FF" w:themeColor="accent4" w:themeTint="66"/>
        <w:bottom w:val="single" w:sz="4" w:space="0" w:color="90D5FF" w:themeColor="accent4" w:themeTint="66"/>
        <w:right w:val="single" w:sz="4" w:space="0" w:color="90D5FF" w:themeColor="accent4" w:themeTint="66"/>
        <w:insideH w:val="single" w:sz="4" w:space="0" w:color="90D5FF" w:themeColor="accent4" w:themeTint="66"/>
        <w:insideV w:val="single" w:sz="4" w:space="0" w:color="90D5FF" w:themeColor="accent4" w:themeTint="66"/>
      </w:tblBorders>
    </w:tblPr>
    <w:tblStylePr w:type="firstRow">
      <w:rPr>
        <w:b/>
        <w:bCs/>
      </w:rPr>
      <w:tblPr/>
      <w:tcPr>
        <w:tcBorders>
          <w:bottom w:val="single" w:sz="12" w:space="0" w:color="59C1FF" w:themeColor="accent4" w:themeTint="99"/>
        </w:tcBorders>
      </w:tcPr>
    </w:tblStylePr>
    <w:tblStylePr w:type="lastRow">
      <w:rPr>
        <w:b/>
        <w:bCs/>
      </w:rPr>
      <w:tblPr/>
      <w:tcPr>
        <w:tcBorders>
          <w:top w:val="double" w:sz="2" w:space="0" w:color="59C1F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755BA"/>
    <w:pPr>
      <w:spacing w:line="240" w:lineRule="auto"/>
    </w:pPr>
    <w:tblPr>
      <w:tblStyleRowBandSize w:val="1"/>
      <w:tblStyleColBandSize w:val="1"/>
      <w:tblBorders>
        <w:top w:val="single" w:sz="4" w:space="0" w:color="8BABEC" w:themeColor="accent5" w:themeTint="66"/>
        <w:left w:val="single" w:sz="4" w:space="0" w:color="8BABEC" w:themeColor="accent5" w:themeTint="66"/>
        <w:bottom w:val="single" w:sz="4" w:space="0" w:color="8BABEC" w:themeColor="accent5" w:themeTint="66"/>
        <w:right w:val="single" w:sz="4" w:space="0" w:color="8BABEC" w:themeColor="accent5" w:themeTint="66"/>
        <w:insideH w:val="single" w:sz="4" w:space="0" w:color="8BABEC" w:themeColor="accent5" w:themeTint="66"/>
        <w:insideV w:val="single" w:sz="4" w:space="0" w:color="8BABEC" w:themeColor="accent5" w:themeTint="66"/>
      </w:tblBorders>
    </w:tblPr>
    <w:tblStylePr w:type="firstRow">
      <w:rPr>
        <w:b/>
        <w:bCs/>
      </w:rPr>
      <w:tblPr/>
      <w:tcPr>
        <w:tcBorders>
          <w:bottom w:val="single" w:sz="12" w:space="0" w:color="5182E3" w:themeColor="accent5" w:themeTint="99"/>
        </w:tcBorders>
      </w:tcPr>
    </w:tblStylePr>
    <w:tblStylePr w:type="lastRow">
      <w:rPr>
        <w:b/>
        <w:bCs/>
      </w:rPr>
      <w:tblPr/>
      <w:tcPr>
        <w:tcBorders>
          <w:top w:val="double" w:sz="2" w:space="0" w:color="5182E3"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755BA"/>
    <w:pPr>
      <w:spacing w:line="240" w:lineRule="auto"/>
    </w:pPr>
    <w:tblPr>
      <w:tblStyleRowBandSize w:val="1"/>
      <w:tblStyleColBandSize w:val="1"/>
      <w:tblBorders>
        <w:top w:val="single" w:sz="4" w:space="0" w:color="79FFFD" w:themeColor="accent6" w:themeTint="66"/>
        <w:left w:val="single" w:sz="4" w:space="0" w:color="79FFFD" w:themeColor="accent6" w:themeTint="66"/>
        <w:bottom w:val="single" w:sz="4" w:space="0" w:color="79FFFD" w:themeColor="accent6" w:themeTint="66"/>
        <w:right w:val="single" w:sz="4" w:space="0" w:color="79FFFD" w:themeColor="accent6" w:themeTint="66"/>
        <w:insideH w:val="single" w:sz="4" w:space="0" w:color="79FFFD" w:themeColor="accent6" w:themeTint="66"/>
        <w:insideV w:val="single" w:sz="4" w:space="0" w:color="79FFFD" w:themeColor="accent6" w:themeTint="66"/>
      </w:tblBorders>
    </w:tblPr>
    <w:tblStylePr w:type="firstRow">
      <w:rPr>
        <w:b/>
        <w:bCs/>
      </w:rPr>
      <w:tblPr/>
      <w:tcPr>
        <w:tcBorders>
          <w:bottom w:val="single" w:sz="12" w:space="0" w:color="36FFFD" w:themeColor="accent6" w:themeTint="99"/>
        </w:tcBorders>
      </w:tcPr>
    </w:tblStylePr>
    <w:tblStylePr w:type="lastRow">
      <w:rPr>
        <w:b/>
        <w:bCs/>
      </w:rPr>
      <w:tblPr/>
      <w:tcPr>
        <w:tcBorders>
          <w:top w:val="double" w:sz="2" w:space="0" w:color="36FFF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755BA"/>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755BA"/>
    <w:pPr>
      <w:spacing w:line="240" w:lineRule="auto"/>
    </w:pPr>
    <w:tblPr>
      <w:tblStyleRowBandSize w:val="1"/>
      <w:tblStyleColBandSize w:val="1"/>
      <w:tblBorders>
        <w:top w:val="single" w:sz="2" w:space="0" w:color="5BD6FF" w:themeColor="accent1" w:themeTint="99"/>
        <w:bottom w:val="single" w:sz="2" w:space="0" w:color="5BD6FF" w:themeColor="accent1" w:themeTint="99"/>
        <w:insideH w:val="single" w:sz="2" w:space="0" w:color="5BD6FF" w:themeColor="accent1" w:themeTint="99"/>
        <w:insideV w:val="single" w:sz="2" w:space="0" w:color="5BD6FF" w:themeColor="accent1" w:themeTint="99"/>
      </w:tblBorders>
    </w:tblPr>
    <w:tblStylePr w:type="firstRow">
      <w:rPr>
        <w:b/>
        <w:bCs/>
      </w:rPr>
      <w:tblPr/>
      <w:tcPr>
        <w:tcBorders>
          <w:top w:val="nil"/>
          <w:bottom w:val="single" w:sz="12" w:space="0" w:color="5BD6FF" w:themeColor="accent1" w:themeTint="99"/>
          <w:insideH w:val="nil"/>
          <w:insideV w:val="nil"/>
        </w:tcBorders>
        <w:shd w:val="clear" w:color="auto" w:fill="FFFFFF" w:themeFill="background1"/>
      </w:tcPr>
    </w:tblStylePr>
    <w:tblStylePr w:type="lastRow">
      <w:rPr>
        <w:b/>
        <w:bCs/>
      </w:rPr>
      <w:tblPr/>
      <w:tcPr>
        <w:tcBorders>
          <w:top w:val="double" w:sz="2" w:space="0" w:color="5BD6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F1FF" w:themeFill="accent1" w:themeFillTint="33"/>
      </w:tcPr>
    </w:tblStylePr>
    <w:tblStylePr w:type="band1Horz">
      <w:tblPr/>
      <w:tcPr>
        <w:shd w:val="clear" w:color="auto" w:fill="C8F1FF" w:themeFill="accent1" w:themeFillTint="33"/>
      </w:tcPr>
    </w:tblStylePr>
  </w:style>
  <w:style w:type="table" w:styleId="GridTable2-Accent2">
    <w:name w:val="Grid Table 2 Accent 2"/>
    <w:basedOn w:val="TableNormal"/>
    <w:uiPriority w:val="47"/>
    <w:semiHidden/>
    <w:rsid w:val="007755BA"/>
    <w:pPr>
      <w:spacing w:line="240" w:lineRule="auto"/>
    </w:pPr>
    <w:tblPr>
      <w:tblStyleRowBandSize w:val="1"/>
      <w:tblStyleColBandSize w:val="1"/>
      <w:tblBorders>
        <w:top w:val="single" w:sz="2" w:space="0" w:color="48A8FF" w:themeColor="accent2" w:themeTint="99"/>
        <w:bottom w:val="single" w:sz="2" w:space="0" w:color="48A8FF" w:themeColor="accent2" w:themeTint="99"/>
        <w:insideH w:val="single" w:sz="2" w:space="0" w:color="48A8FF" w:themeColor="accent2" w:themeTint="99"/>
        <w:insideV w:val="single" w:sz="2" w:space="0" w:color="48A8FF" w:themeColor="accent2" w:themeTint="99"/>
      </w:tblBorders>
    </w:tblPr>
    <w:tblStylePr w:type="firstRow">
      <w:rPr>
        <w:b/>
        <w:bCs/>
      </w:rPr>
      <w:tblPr/>
      <w:tcPr>
        <w:tcBorders>
          <w:top w:val="nil"/>
          <w:bottom w:val="single" w:sz="12" w:space="0" w:color="48A8FF" w:themeColor="accent2" w:themeTint="99"/>
          <w:insideH w:val="nil"/>
          <w:insideV w:val="nil"/>
        </w:tcBorders>
        <w:shd w:val="clear" w:color="auto" w:fill="FFFFFF" w:themeFill="background1"/>
      </w:tcPr>
    </w:tblStylePr>
    <w:tblStylePr w:type="lastRow">
      <w:rPr>
        <w:b/>
        <w:bCs/>
      </w:rPr>
      <w:tblPr/>
      <w:tcPr>
        <w:tcBorders>
          <w:top w:val="double" w:sz="2" w:space="0" w:color="48A8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2FF" w:themeFill="accent2" w:themeFillTint="33"/>
      </w:tcPr>
    </w:tblStylePr>
    <w:tblStylePr w:type="band1Horz">
      <w:tblPr/>
      <w:tcPr>
        <w:shd w:val="clear" w:color="auto" w:fill="C2E2FF" w:themeFill="accent2" w:themeFillTint="33"/>
      </w:tcPr>
    </w:tblStylePr>
  </w:style>
  <w:style w:type="table" w:styleId="GridTable2-Accent3">
    <w:name w:val="Grid Table 2 Accent 3"/>
    <w:basedOn w:val="TableNormal"/>
    <w:uiPriority w:val="47"/>
    <w:semiHidden/>
    <w:rsid w:val="007755BA"/>
    <w:pPr>
      <w:spacing w:line="240" w:lineRule="auto"/>
    </w:pPr>
    <w:tblPr>
      <w:tblStyleRowBandSize w:val="1"/>
      <w:tblStyleColBandSize w:val="1"/>
      <w:tblBorders>
        <w:top w:val="single" w:sz="2" w:space="0" w:color="B1E3FF" w:themeColor="accent3" w:themeTint="99"/>
        <w:bottom w:val="single" w:sz="2" w:space="0" w:color="B1E3FF" w:themeColor="accent3" w:themeTint="99"/>
        <w:insideH w:val="single" w:sz="2" w:space="0" w:color="B1E3FF" w:themeColor="accent3" w:themeTint="99"/>
        <w:insideV w:val="single" w:sz="2" w:space="0" w:color="B1E3FF" w:themeColor="accent3" w:themeTint="99"/>
      </w:tblBorders>
    </w:tblPr>
    <w:tblStylePr w:type="firstRow">
      <w:rPr>
        <w:b/>
        <w:bCs/>
      </w:rPr>
      <w:tblPr/>
      <w:tcPr>
        <w:tcBorders>
          <w:top w:val="nil"/>
          <w:bottom w:val="single" w:sz="12" w:space="0" w:color="B1E3FF" w:themeColor="accent3" w:themeTint="99"/>
          <w:insideH w:val="nil"/>
          <w:insideV w:val="nil"/>
        </w:tcBorders>
        <w:shd w:val="clear" w:color="auto" w:fill="FFFFFF" w:themeFill="background1"/>
      </w:tcPr>
    </w:tblStylePr>
    <w:tblStylePr w:type="lastRow">
      <w:rPr>
        <w:b/>
        <w:bCs/>
      </w:rPr>
      <w:tblPr/>
      <w:tcPr>
        <w:tcBorders>
          <w:top w:val="double" w:sz="2" w:space="0" w:color="B1E3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F5FF" w:themeFill="accent3" w:themeFillTint="33"/>
      </w:tcPr>
    </w:tblStylePr>
    <w:tblStylePr w:type="band1Horz">
      <w:tblPr/>
      <w:tcPr>
        <w:shd w:val="clear" w:color="auto" w:fill="E5F5FF" w:themeFill="accent3" w:themeFillTint="33"/>
      </w:tcPr>
    </w:tblStylePr>
  </w:style>
  <w:style w:type="table" w:styleId="GridTable2-Accent4">
    <w:name w:val="Grid Table 2 Accent 4"/>
    <w:basedOn w:val="TableNormal"/>
    <w:uiPriority w:val="47"/>
    <w:semiHidden/>
    <w:rsid w:val="007755BA"/>
    <w:pPr>
      <w:spacing w:line="240" w:lineRule="auto"/>
    </w:pPr>
    <w:tblPr>
      <w:tblStyleRowBandSize w:val="1"/>
      <w:tblStyleColBandSize w:val="1"/>
      <w:tblBorders>
        <w:top w:val="single" w:sz="2" w:space="0" w:color="59C1FF" w:themeColor="accent4" w:themeTint="99"/>
        <w:bottom w:val="single" w:sz="2" w:space="0" w:color="59C1FF" w:themeColor="accent4" w:themeTint="99"/>
        <w:insideH w:val="single" w:sz="2" w:space="0" w:color="59C1FF" w:themeColor="accent4" w:themeTint="99"/>
        <w:insideV w:val="single" w:sz="2" w:space="0" w:color="59C1FF" w:themeColor="accent4" w:themeTint="99"/>
      </w:tblBorders>
    </w:tblPr>
    <w:tblStylePr w:type="firstRow">
      <w:rPr>
        <w:b/>
        <w:bCs/>
      </w:rPr>
      <w:tblPr/>
      <w:tcPr>
        <w:tcBorders>
          <w:top w:val="nil"/>
          <w:bottom w:val="single" w:sz="12" w:space="0" w:color="59C1FF" w:themeColor="accent4" w:themeTint="99"/>
          <w:insideH w:val="nil"/>
          <w:insideV w:val="nil"/>
        </w:tcBorders>
        <w:shd w:val="clear" w:color="auto" w:fill="FFFFFF" w:themeFill="background1"/>
      </w:tcPr>
    </w:tblStylePr>
    <w:tblStylePr w:type="lastRow">
      <w:rPr>
        <w:b/>
        <w:bCs/>
      </w:rPr>
      <w:tblPr/>
      <w:tcPr>
        <w:tcBorders>
          <w:top w:val="double" w:sz="2" w:space="0" w:color="59C1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EAFF" w:themeFill="accent4" w:themeFillTint="33"/>
      </w:tcPr>
    </w:tblStylePr>
    <w:tblStylePr w:type="band1Horz">
      <w:tblPr/>
      <w:tcPr>
        <w:shd w:val="clear" w:color="auto" w:fill="C7EAFF" w:themeFill="accent4" w:themeFillTint="33"/>
      </w:tcPr>
    </w:tblStylePr>
  </w:style>
  <w:style w:type="table" w:styleId="GridTable2-Accent5">
    <w:name w:val="Grid Table 2 Accent 5"/>
    <w:basedOn w:val="TableNormal"/>
    <w:uiPriority w:val="47"/>
    <w:semiHidden/>
    <w:rsid w:val="007755BA"/>
    <w:pPr>
      <w:spacing w:line="240" w:lineRule="auto"/>
    </w:pPr>
    <w:tblPr>
      <w:tblStyleRowBandSize w:val="1"/>
      <w:tblStyleColBandSize w:val="1"/>
      <w:tblBorders>
        <w:top w:val="single" w:sz="2" w:space="0" w:color="5182E3" w:themeColor="accent5" w:themeTint="99"/>
        <w:bottom w:val="single" w:sz="2" w:space="0" w:color="5182E3" w:themeColor="accent5" w:themeTint="99"/>
        <w:insideH w:val="single" w:sz="2" w:space="0" w:color="5182E3" w:themeColor="accent5" w:themeTint="99"/>
        <w:insideV w:val="single" w:sz="2" w:space="0" w:color="5182E3" w:themeColor="accent5" w:themeTint="99"/>
      </w:tblBorders>
    </w:tblPr>
    <w:tblStylePr w:type="firstRow">
      <w:rPr>
        <w:b/>
        <w:bCs/>
      </w:rPr>
      <w:tblPr/>
      <w:tcPr>
        <w:tcBorders>
          <w:top w:val="nil"/>
          <w:bottom w:val="single" w:sz="12" w:space="0" w:color="5182E3" w:themeColor="accent5" w:themeTint="99"/>
          <w:insideH w:val="nil"/>
          <w:insideV w:val="nil"/>
        </w:tcBorders>
        <w:shd w:val="clear" w:color="auto" w:fill="FFFFFF" w:themeFill="background1"/>
      </w:tcPr>
    </w:tblStylePr>
    <w:tblStylePr w:type="lastRow">
      <w:rPr>
        <w:b/>
        <w:bCs/>
      </w:rPr>
      <w:tblPr/>
      <w:tcPr>
        <w:tcBorders>
          <w:top w:val="double" w:sz="2" w:space="0" w:color="5182E3"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table" w:styleId="GridTable2-Accent6">
    <w:name w:val="Grid Table 2 Accent 6"/>
    <w:basedOn w:val="TableNormal"/>
    <w:uiPriority w:val="47"/>
    <w:semiHidden/>
    <w:rsid w:val="007755BA"/>
    <w:pPr>
      <w:spacing w:line="240" w:lineRule="auto"/>
    </w:pPr>
    <w:tblPr>
      <w:tblStyleRowBandSize w:val="1"/>
      <w:tblStyleColBandSize w:val="1"/>
      <w:tblBorders>
        <w:top w:val="single" w:sz="2" w:space="0" w:color="36FFFD" w:themeColor="accent6" w:themeTint="99"/>
        <w:bottom w:val="single" w:sz="2" w:space="0" w:color="36FFFD" w:themeColor="accent6" w:themeTint="99"/>
        <w:insideH w:val="single" w:sz="2" w:space="0" w:color="36FFFD" w:themeColor="accent6" w:themeTint="99"/>
        <w:insideV w:val="single" w:sz="2" w:space="0" w:color="36FFFD" w:themeColor="accent6" w:themeTint="99"/>
      </w:tblBorders>
    </w:tblPr>
    <w:tblStylePr w:type="firstRow">
      <w:rPr>
        <w:b/>
        <w:bCs/>
      </w:rPr>
      <w:tblPr/>
      <w:tcPr>
        <w:tcBorders>
          <w:top w:val="nil"/>
          <w:bottom w:val="single" w:sz="12" w:space="0" w:color="36FFFD" w:themeColor="accent6" w:themeTint="99"/>
          <w:insideH w:val="nil"/>
          <w:insideV w:val="nil"/>
        </w:tcBorders>
        <w:shd w:val="clear" w:color="auto" w:fill="FFFFFF" w:themeFill="background1"/>
      </w:tcPr>
    </w:tblStylePr>
    <w:tblStylePr w:type="lastRow">
      <w:rPr>
        <w:b/>
        <w:bCs/>
      </w:rPr>
      <w:tblPr/>
      <w:tcPr>
        <w:tcBorders>
          <w:top w:val="double" w:sz="2" w:space="0" w:color="36FFF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E" w:themeFill="accent6" w:themeFillTint="33"/>
      </w:tcPr>
    </w:tblStylePr>
    <w:tblStylePr w:type="band1Horz">
      <w:tblPr/>
      <w:tcPr>
        <w:shd w:val="clear" w:color="auto" w:fill="BCFFFE" w:themeFill="accent6" w:themeFillTint="33"/>
      </w:tcPr>
    </w:tblStylePr>
  </w:style>
  <w:style w:type="table" w:styleId="GridTable3">
    <w:name w:val="Grid Table 3"/>
    <w:basedOn w:val="TableNormal"/>
    <w:uiPriority w:val="48"/>
    <w:semiHidden/>
    <w:rsid w:val="007755BA"/>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755BA"/>
    <w:pPr>
      <w:spacing w:line="240" w:lineRule="auto"/>
    </w:pPr>
    <w:tblPr>
      <w:tblStyleRowBandSize w:val="1"/>
      <w:tblStyleColBandSize w:val="1"/>
      <w:tblBorders>
        <w:top w:val="single" w:sz="4" w:space="0" w:color="5BD6FF" w:themeColor="accent1" w:themeTint="99"/>
        <w:left w:val="single" w:sz="4" w:space="0" w:color="5BD6FF" w:themeColor="accent1" w:themeTint="99"/>
        <w:bottom w:val="single" w:sz="4" w:space="0" w:color="5BD6FF" w:themeColor="accent1" w:themeTint="99"/>
        <w:right w:val="single" w:sz="4" w:space="0" w:color="5BD6FF" w:themeColor="accent1" w:themeTint="99"/>
        <w:insideH w:val="single" w:sz="4" w:space="0" w:color="5BD6FF" w:themeColor="accent1" w:themeTint="99"/>
        <w:insideV w:val="single" w:sz="4" w:space="0" w:color="5BD6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F1FF" w:themeFill="accent1" w:themeFillTint="33"/>
      </w:tcPr>
    </w:tblStylePr>
    <w:tblStylePr w:type="band1Horz">
      <w:tblPr/>
      <w:tcPr>
        <w:shd w:val="clear" w:color="auto" w:fill="C8F1FF" w:themeFill="accent1" w:themeFillTint="33"/>
      </w:tcPr>
    </w:tblStylePr>
    <w:tblStylePr w:type="neCell">
      <w:tblPr/>
      <w:tcPr>
        <w:tcBorders>
          <w:bottom w:val="single" w:sz="4" w:space="0" w:color="5BD6FF" w:themeColor="accent1" w:themeTint="99"/>
        </w:tcBorders>
      </w:tcPr>
    </w:tblStylePr>
    <w:tblStylePr w:type="nwCell">
      <w:tblPr/>
      <w:tcPr>
        <w:tcBorders>
          <w:bottom w:val="single" w:sz="4" w:space="0" w:color="5BD6FF" w:themeColor="accent1" w:themeTint="99"/>
        </w:tcBorders>
      </w:tcPr>
    </w:tblStylePr>
    <w:tblStylePr w:type="seCell">
      <w:tblPr/>
      <w:tcPr>
        <w:tcBorders>
          <w:top w:val="single" w:sz="4" w:space="0" w:color="5BD6FF" w:themeColor="accent1" w:themeTint="99"/>
        </w:tcBorders>
      </w:tcPr>
    </w:tblStylePr>
    <w:tblStylePr w:type="swCell">
      <w:tblPr/>
      <w:tcPr>
        <w:tcBorders>
          <w:top w:val="single" w:sz="4" w:space="0" w:color="5BD6FF" w:themeColor="accent1" w:themeTint="99"/>
        </w:tcBorders>
      </w:tcPr>
    </w:tblStylePr>
  </w:style>
  <w:style w:type="table" w:styleId="GridTable3-Accent2">
    <w:name w:val="Grid Table 3 Accent 2"/>
    <w:basedOn w:val="TableNormal"/>
    <w:uiPriority w:val="48"/>
    <w:semiHidden/>
    <w:rsid w:val="007755BA"/>
    <w:pPr>
      <w:spacing w:line="240" w:lineRule="auto"/>
    </w:pPr>
    <w:tblPr>
      <w:tblStyleRowBandSize w:val="1"/>
      <w:tblStyleColBandSize w:val="1"/>
      <w:tblBorders>
        <w:top w:val="single" w:sz="4" w:space="0" w:color="48A8FF" w:themeColor="accent2" w:themeTint="99"/>
        <w:left w:val="single" w:sz="4" w:space="0" w:color="48A8FF" w:themeColor="accent2" w:themeTint="99"/>
        <w:bottom w:val="single" w:sz="4" w:space="0" w:color="48A8FF" w:themeColor="accent2" w:themeTint="99"/>
        <w:right w:val="single" w:sz="4" w:space="0" w:color="48A8FF" w:themeColor="accent2" w:themeTint="99"/>
        <w:insideH w:val="single" w:sz="4" w:space="0" w:color="48A8FF" w:themeColor="accent2" w:themeTint="99"/>
        <w:insideV w:val="single" w:sz="4" w:space="0" w:color="48A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2FF" w:themeFill="accent2" w:themeFillTint="33"/>
      </w:tcPr>
    </w:tblStylePr>
    <w:tblStylePr w:type="band1Horz">
      <w:tblPr/>
      <w:tcPr>
        <w:shd w:val="clear" w:color="auto" w:fill="C2E2FF" w:themeFill="accent2" w:themeFillTint="33"/>
      </w:tcPr>
    </w:tblStylePr>
    <w:tblStylePr w:type="neCell">
      <w:tblPr/>
      <w:tcPr>
        <w:tcBorders>
          <w:bottom w:val="single" w:sz="4" w:space="0" w:color="48A8FF" w:themeColor="accent2" w:themeTint="99"/>
        </w:tcBorders>
      </w:tcPr>
    </w:tblStylePr>
    <w:tblStylePr w:type="nwCell">
      <w:tblPr/>
      <w:tcPr>
        <w:tcBorders>
          <w:bottom w:val="single" w:sz="4" w:space="0" w:color="48A8FF" w:themeColor="accent2" w:themeTint="99"/>
        </w:tcBorders>
      </w:tcPr>
    </w:tblStylePr>
    <w:tblStylePr w:type="seCell">
      <w:tblPr/>
      <w:tcPr>
        <w:tcBorders>
          <w:top w:val="single" w:sz="4" w:space="0" w:color="48A8FF" w:themeColor="accent2" w:themeTint="99"/>
        </w:tcBorders>
      </w:tcPr>
    </w:tblStylePr>
    <w:tblStylePr w:type="swCell">
      <w:tblPr/>
      <w:tcPr>
        <w:tcBorders>
          <w:top w:val="single" w:sz="4" w:space="0" w:color="48A8FF" w:themeColor="accent2" w:themeTint="99"/>
        </w:tcBorders>
      </w:tcPr>
    </w:tblStylePr>
  </w:style>
  <w:style w:type="table" w:styleId="GridTable3-Accent3">
    <w:name w:val="Grid Table 3 Accent 3"/>
    <w:basedOn w:val="TableNormal"/>
    <w:uiPriority w:val="48"/>
    <w:semiHidden/>
    <w:rsid w:val="007755BA"/>
    <w:pPr>
      <w:spacing w:line="240" w:lineRule="auto"/>
    </w:pPr>
    <w:tblPr>
      <w:tblStyleRowBandSize w:val="1"/>
      <w:tblStyleColBandSize w:val="1"/>
      <w:tblBorders>
        <w:top w:val="single" w:sz="4" w:space="0" w:color="B1E3FF" w:themeColor="accent3" w:themeTint="99"/>
        <w:left w:val="single" w:sz="4" w:space="0" w:color="B1E3FF" w:themeColor="accent3" w:themeTint="99"/>
        <w:bottom w:val="single" w:sz="4" w:space="0" w:color="B1E3FF" w:themeColor="accent3" w:themeTint="99"/>
        <w:right w:val="single" w:sz="4" w:space="0" w:color="B1E3FF" w:themeColor="accent3" w:themeTint="99"/>
        <w:insideH w:val="single" w:sz="4" w:space="0" w:color="B1E3FF" w:themeColor="accent3" w:themeTint="99"/>
        <w:insideV w:val="single" w:sz="4" w:space="0" w:color="B1E3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F5FF" w:themeFill="accent3" w:themeFillTint="33"/>
      </w:tcPr>
    </w:tblStylePr>
    <w:tblStylePr w:type="band1Horz">
      <w:tblPr/>
      <w:tcPr>
        <w:shd w:val="clear" w:color="auto" w:fill="E5F5FF" w:themeFill="accent3" w:themeFillTint="33"/>
      </w:tcPr>
    </w:tblStylePr>
    <w:tblStylePr w:type="neCell">
      <w:tblPr/>
      <w:tcPr>
        <w:tcBorders>
          <w:bottom w:val="single" w:sz="4" w:space="0" w:color="B1E3FF" w:themeColor="accent3" w:themeTint="99"/>
        </w:tcBorders>
      </w:tcPr>
    </w:tblStylePr>
    <w:tblStylePr w:type="nwCell">
      <w:tblPr/>
      <w:tcPr>
        <w:tcBorders>
          <w:bottom w:val="single" w:sz="4" w:space="0" w:color="B1E3FF" w:themeColor="accent3" w:themeTint="99"/>
        </w:tcBorders>
      </w:tcPr>
    </w:tblStylePr>
    <w:tblStylePr w:type="seCell">
      <w:tblPr/>
      <w:tcPr>
        <w:tcBorders>
          <w:top w:val="single" w:sz="4" w:space="0" w:color="B1E3FF" w:themeColor="accent3" w:themeTint="99"/>
        </w:tcBorders>
      </w:tcPr>
    </w:tblStylePr>
    <w:tblStylePr w:type="swCell">
      <w:tblPr/>
      <w:tcPr>
        <w:tcBorders>
          <w:top w:val="single" w:sz="4" w:space="0" w:color="B1E3FF" w:themeColor="accent3" w:themeTint="99"/>
        </w:tcBorders>
      </w:tcPr>
    </w:tblStylePr>
  </w:style>
  <w:style w:type="table" w:styleId="GridTable3-Accent4">
    <w:name w:val="Grid Table 3 Accent 4"/>
    <w:basedOn w:val="TableNormal"/>
    <w:uiPriority w:val="48"/>
    <w:semiHidden/>
    <w:rsid w:val="007755BA"/>
    <w:pPr>
      <w:spacing w:line="240" w:lineRule="auto"/>
    </w:pPr>
    <w:tblPr>
      <w:tblStyleRowBandSize w:val="1"/>
      <w:tblStyleColBandSize w:val="1"/>
      <w:tblBorders>
        <w:top w:val="single" w:sz="4" w:space="0" w:color="59C1FF" w:themeColor="accent4" w:themeTint="99"/>
        <w:left w:val="single" w:sz="4" w:space="0" w:color="59C1FF" w:themeColor="accent4" w:themeTint="99"/>
        <w:bottom w:val="single" w:sz="4" w:space="0" w:color="59C1FF" w:themeColor="accent4" w:themeTint="99"/>
        <w:right w:val="single" w:sz="4" w:space="0" w:color="59C1FF" w:themeColor="accent4" w:themeTint="99"/>
        <w:insideH w:val="single" w:sz="4" w:space="0" w:color="59C1FF" w:themeColor="accent4" w:themeTint="99"/>
        <w:insideV w:val="single" w:sz="4" w:space="0" w:color="59C1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EAFF" w:themeFill="accent4" w:themeFillTint="33"/>
      </w:tcPr>
    </w:tblStylePr>
    <w:tblStylePr w:type="band1Horz">
      <w:tblPr/>
      <w:tcPr>
        <w:shd w:val="clear" w:color="auto" w:fill="C7EAFF" w:themeFill="accent4" w:themeFillTint="33"/>
      </w:tcPr>
    </w:tblStylePr>
    <w:tblStylePr w:type="neCell">
      <w:tblPr/>
      <w:tcPr>
        <w:tcBorders>
          <w:bottom w:val="single" w:sz="4" w:space="0" w:color="59C1FF" w:themeColor="accent4" w:themeTint="99"/>
        </w:tcBorders>
      </w:tcPr>
    </w:tblStylePr>
    <w:tblStylePr w:type="nwCell">
      <w:tblPr/>
      <w:tcPr>
        <w:tcBorders>
          <w:bottom w:val="single" w:sz="4" w:space="0" w:color="59C1FF" w:themeColor="accent4" w:themeTint="99"/>
        </w:tcBorders>
      </w:tcPr>
    </w:tblStylePr>
    <w:tblStylePr w:type="seCell">
      <w:tblPr/>
      <w:tcPr>
        <w:tcBorders>
          <w:top w:val="single" w:sz="4" w:space="0" w:color="59C1FF" w:themeColor="accent4" w:themeTint="99"/>
        </w:tcBorders>
      </w:tcPr>
    </w:tblStylePr>
    <w:tblStylePr w:type="swCell">
      <w:tblPr/>
      <w:tcPr>
        <w:tcBorders>
          <w:top w:val="single" w:sz="4" w:space="0" w:color="59C1FF" w:themeColor="accent4" w:themeTint="99"/>
        </w:tcBorders>
      </w:tcPr>
    </w:tblStylePr>
  </w:style>
  <w:style w:type="table" w:styleId="GridTable3-Accent5">
    <w:name w:val="Grid Table 3 Accent 5"/>
    <w:basedOn w:val="TableNormal"/>
    <w:uiPriority w:val="48"/>
    <w:semiHidden/>
    <w:rsid w:val="007755BA"/>
    <w:pPr>
      <w:spacing w:line="240" w:lineRule="auto"/>
    </w:pPr>
    <w:tblPr>
      <w:tblStyleRowBandSize w:val="1"/>
      <w:tblStyleColBandSize w:val="1"/>
      <w:tblBorders>
        <w:top w:val="single" w:sz="4" w:space="0" w:color="5182E3" w:themeColor="accent5" w:themeTint="99"/>
        <w:left w:val="single" w:sz="4" w:space="0" w:color="5182E3" w:themeColor="accent5" w:themeTint="99"/>
        <w:bottom w:val="single" w:sz="4" w:space="0" w:color="5182E3" w:themeColor="accent5" w:themeTint="99"/>
        <w:right w:val="single" w:sz="4" w:space="0" w:color="5182E3" w:themeColor="accent5" w:themeTint="99"/>
        <w:insideH w:val="single" w:sz="4" w:space="0" w:color="5182E3" w:themeColor="accent5" w:themeTint="99"/>
        <w:insideV w:val="single" w:sz="4" w:space="0" w:color="5182E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D5F6" w:themeFill="accent5" w:themeFillTint="33"/>
      </w:tcPr>
    </w:tblStylePr>
    <w:tblStylePr w:type="band1Horz">
      <w:tblPr/>
      <w:tcPr>
        <w:shd w:val="clear" w:color="auto" w:fill="C5D5F6" w:themeFill="accent5" w:themeFillTint="33"/>
      </w:tcPr>
    </w:tblStylePr>
    <w:tblStylePr w:type="neCell">
      <w:tblPr/>
      <w:tcPr>
        <w:tcBorders>
          <w:bottom w:val="single" w:sz="4" w:space="0" w:color="5182E3" w:themeColor="accent5" w:themeTint="99"/>
        </w:tcBorders>
      </w:tcPr>
    </w:tblStylePr>
    <w:tblStylePr w:type="nwCell">
      <w:tblPr/>
      <w:tcPr>
        <w:tcBorders>
          <w:bottom w:val="single" w:sz="4" w:space="0" w:color="5182E3" w:themeColor="accent5" w:themeTint="99"/>
        </w:tcBorders>
      </w:tcPr>
    </w:tblStylePr>
    <w:tblStylePr w:type="seCell">
      <w:tblPr/>
      <w:tcPr>
        <w:tcBorders>
          <w:top w:val="single" w:sz="4" w:space="0" w:color="5182E3" w:themeColor="accent5" w:themeTint="99"/>
        </w:tcBorders>
      </w:tcPr>
    </w:tblStylePr>
    <w:tblStylePr w:type="swCell">
      <w:tblPr/>
      <w:tcPr>
        <w:tcBorders>
          <w:top w:val="single" w:sz="4" w:space="0" w:color="5182E3" w:themeColor="accent5" w:themeTint="99"/>
        </w:tcBorders>
      </w:tcPr>
    </w:tblStylePr>
  </w:style>
  <w:style w:type="table" w:styleId="GridTable3-Accent6">
    <w:name w:val="Grid Table 3 Accent 6"/>
    <w:basedOn w:val="TableNormal"/>
    <w:uiPriority w:val="48"/>
    <w:semiHidden/>
    <w:rsid w:val="007755BA"/>
    <w:pPr>
      <w:spacing w:line="240" w:lineRule="auto"/>
    </w:pPr>
    <w:tblPr>
      <w:tblStyleRowBandSize w:val="1"/>
      <w:tblStyleColBandSize w:val="1"/>
      <w:tblBorders>
        <w:top w:val="single" w:sz="4" w:space="0" w:color="36FFFD" w:themeColor="accent6" w:themeTint="99"/>
        <w:left w:val="single" w:sz="4" w:space="0" w:color="36FFFD" w:themeColor="accent6" w:themeTint="99"/>
        <w:bottom w:val="single" w:sz="4" w:space="0" w:color="36FFFD" w:themeColor="accent6" w:themeTint="99"/>
        <w:right w:val="single" w:sz="4" w:space="0" w:color="36FFFD" w:themeColor="accent6" w:themeTint="99"/>
        <w:insideH w:val="single" w:sz="4" w:space="0" w:color="36FFFD" w:themeColor="accent6" w:themeTint="99"/>
        <w:insideV w:val="single" w:sz="4" w:space="0" w:color="36FFF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E" w:themeFill="accent6" w:themeFillTint="33"/>
      </w:tcPr>
    </w:tblStylePr>
    <w:tblStylePr w:type="band1Horz">
      <w:tblPr/>
      <w:tcPr>
        <w:shd w:val="clear" w:color="auto" w:fill="BCFFFE" w:themeFill="accent6" w:themeFillTint="33"/>
      </w:tcPr>
    </w:tblStylePr>
    <w:tblStylePr w:type="neCell">
      <w:tblPr/>
      <w:tcPr>
        <w:tcBorders>
          <w:bottom w:val="single" w:sz="4" w:space="0" w:color="36FFFD" w:themeColor="accent6" w:themeTint="99"/>
        </w:tcBorders>
      </w:tcPr>
    </w:tblStylePr>
    <w:tblStylePr w:type="nwCell">
      <w:tblPr/>
      <w:tcPr>
        <w:tcBorders>
          <w:bottom w:val="single" w:sz="4" w:space="0" w:color="36FFFD" w:themeColor="accent6" w:themeTint="99"/>
        </w:tcBorders>
      </w:tcPr>
    </w:tblStylePr>
    <w:tblStylePr w:type="seCell">
      <w:tblPr/>
      <w:tcPr>
        <w:tcBorders>
          <w:top w:val="single" w:sz="4" w:space="0" w:color="36FFFD" w:themeColor="accent6" w:themeTint="99"/>
        </w:tcBorders>
      </w:tcPr>
    </w:tblStylePr>
    <w:tblStylePr w:type="swCell">
      <w:tblPr/>
      <w:tcPr>
        <w:tcBorders>
          <w:top w:val="single" w:sz="4" w:space="0" w:color="36FFFD" w:themeColor="accent6" w:themeTint="99"/>
        </w:tcBorders>
      </w:tcPr>
    </w:tblStylePr>
  </w:style>
  <w:style w:type="table" w:styleId="GridTable4">
    <w:name w:val="Grid Table 4"/>
    <w:basedOn w:val="TableNormal"/>
    <w:uiPriority w:val="49"/>
    <w:semiHidden/>
    <w:rsid w:val="007755BA"/>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755BA"/>
    <w:pPr>
      <w:spacing w:line="240" w:lineRule="auto"/>
    </w:pPr>
    <w:tblPr>
      <w:tblStyleRowBandSize w:val="1"/>
      <w:tblStyleColBandSize w:val="1"/>
      <w:tblBorders>
        <w:top w:val="single" w:sz="4" w:space="0" w:color="5BD6FF" w:themeColor="accent1" w:themeTint="99"/>
        <w:left w:val="single" w:sz="4" w:space="0" w:color="5BD6FF" w:themeColor="accent1" w:themeTint="99"/>
        <w:bottom w:val="single" w:sz="4" w:space="0" w:color="5BD6FF" w:themeColor="accent1" w:themeTint="99"/>
        <w:right w:val="single" w:sz="4" w:space="0" w:color="5BD6FF" w:themeColor="accent1" w:themeTint="99"/>
        <w:insideH w:val="single" w:sz="4" w:space="0" w:color="5BD6FF" w:themeColor="accent1" w:themeTint="99"/>
        <w:insideV w:val="single" w:sz="4" w:space="0" w:color="5BD6FF" w:themeColor="accent1" w:themeTint="99"/>
      </w:tblBorders>
    </w:tblPr>
    <w:tblStylePr w:type="firstRow">
      <w:rPr>
        <w:b/>
        <w:bCs/>
        <w:color w:val="FFFFFF" w:themeColor="background1"/>
      </w:rPr>
      <w:tblPr/>
      <w:tcPr>
        <w:tcBorders>
          <w:top w:val="single" w:sz="4" w:space="0" w:color="00B4EE" w:themeColor="accent1"/>
          <w:left w:val="single" w:sz="4" w:space="0" w:color="00B4EE" w:themeColor="accent1"/>
          <w:bottom w:val="single" w:sz="4" w:space="0" w:color="00B4EE" w:themeColor="accent1"/>
          <w:right w:val="single" w:sz="4" w:space="0" w:color="00B4EE" w:themeColor="accent1"/>
          <w:insideH w:val="nil"/>
          <w:insideV w:val="nil"/>
        </w:tcBorders>
        <w:shd w:val="clear" w:color="auto" w:fill="00B4EE" w:themeFill="accent1"/>
      </w:tcPr>
    </w:tblStylePr>
    <w:tblStylePr w:type="lastRow">
      <w:rPr>
        <w:b/>
        <w:bCs/>
      </w:rPr>
      <w:tblPr/>
      <w:tcPr>
        <w:tcBorders>
          <w:top w:val="double" w:sz="4" w:space="0" w:color="00B4EE" w:themeColor="accent1"/>
        </w:tcBorders>
      </w:tcPr>
    </w:tblStylePr>
    <w:tblStylePr w:type="firstCol">
      <w:rPr>
        <w:b/>
        <w:bCs/>
      </w:rPr>
    </w:tblStylePr>
    <w:tblStylePr w:type="lastCol">
      <w:rPr>
        <w:b/>
        <w:bCs/>
      </w:rPr>
    </w:tblStylePr>
    <w:tblStylePr w:type="band1Vert">
      <w:tblPr/>
      <w:tcPr>
        <w:shd w:val="clear" w:color="auto" w:fill="C8F1FF" w:themeFill="accent1" w:themeFillTint="33"/>
      </w:tcPr>
    </w:tblStylePr>
    <w:tblStylePr w:type="band1Horz">
      <w:tblPr/>
      <w:tcPr>
        <w:shd w:val="clear" w:color="auto" w:fill="C8F1FF" w:themeFill="accent1" w:themeFillTint="33"/>
      </w:tcPr>
    </w:tblStylePr>
  </w:style>
  <w:style w:type="table" w:styleId="GridTable4-Accent2">
    <w:name w:val="Grid Table 4 Accent 2"/>
    <w:basedOn w:val="TableNormal"/>
    <w:uiPriority w:val="49"/>
    <w:semiHidden/>
    <w:rsid w:val="007755BA"/>
    <w:pPr>
      <w:spacing w:line="240" w:lineRule="auto"/>
    </w:pPr>
    <w:tblPr>
      <w:tblStyleRowBandSize w:val="1"/>
      <w:tblStyleColBandSize w:val="1"/>
      <w:tblBorders>
        <w:top w:val="single" w:sz="4" w:space="0" w:color="48A8FF" w:themeColor="accent2" w:themeTint="99"/>
        <w:left w:val="single" w:sz="4" w:space="0" w:color="48A8FF" w:themeColor="accent2" w:themeTint="99"/>
        <w:bottom w:val="single" w:sz="4" w:space="0" w:color="48A8FF" w:themeColor="accent2" w:themeTint="99"/>
        <w:right w:val="single" w:sz="4" w:space="0" w:color="48A8FF" w:themeColor="accent2" w:themeTint="99"/>
        <w:insideH w:val="single" w:sz="4" w:space="0" w:color="48A8FF" w:themeColor="accent2" w:themeTint="99"/>
        <w:insideV w:val="single" w:sz="4" w:space="0" w:color="48A8FF" w:themeColor="accent2" w:themeTint="99"/>
      </w:tblBorders>
    </w:tblPr>
    <w:tblStylePr w:type="firstRow">
      <w:rPr>
        <w:b/>
        <w:bCs/>
        <w:color w:val="FFFFFF" w:themeColor="background1"/>
      </w:rPr>
      <w:tblPr/>
      <w:tcPr>
        <w:tcBorders>
          <w:top w:val="single" w:sz="4" w:space="0" w:color="006CCD" w:themeColor="accent2"/>
          <w:left w:val="single" w:sz="4" w:space="0" w:color="006CCD" w:themeColor="accent2"/>
          <w:bottom w:val="single" w:sz="4" w:space="0" w:color="006CCD" w:themeColor="accent2"/>
          <w:right w:val="single" w:sz="4" w:space="0" w:color="006CCD" w:themeColor="accent2"/>
          <w:insideH w:val="nil"/>
          <w:insideV w:val="nil"/>
        </w:tcBorders>
        <w:shd w:val="clear" w:color="auto" w:fill="006CCD" w:themeFill="accent2"/>
      </w:tcPr>
    </w:tblStylePr>
    <w:tblStylePr w:type="lastRow">
      <w:rPr>
        <w:b/>
        <w:bCs/>
      </w:rPr>
      <w:tblPr/>
      <w:tcPr>
        <w:tcBorders>
          <w:top w:val="double" w:sz="4" w:space="0" w:color="006CCD" w:themeColor="accent2"/>
        </w:tcBorders>
      </w:tcPr>
    </w:tblStylePr>
    <w:tblStylePr w:type="firstCol">
      <w:rPr>
        <w:b/>
        <w:bCs/>
      </w:rPr>
    </w:tblStylePr>
    <w:tblStylePr w:type="lastCol">
      <w:rPr>
        <w:b/>
        <w:bCs/>
      </w:rPr>
    </w:tblStylePr>
    <w:tblStylePr w:type="band1Vert">
      <w:tblPr/>
      <w:tcPr>
        <w:shd w:val="clear" w:color="auto" w:fill="C2E2FF" w:themeFill="accent2" w:themeFillTint="33"/>
      </w:tcPr>
    </w:tblStylePr>
    <w:tblStylePr w:type="band1Horz">
      <w:tblPr/>
      <w:tcPr>
        <w:shd w:val="clear" w:color="auto" w:fill="C2E2FF" w:themeFill="accent2" w:themeFillTint="33"/>
      </w:tcPr>
    </w:tblStylePr>
  </w:style>
  <w:style w:type="table" w:styleId="GridTable4-Accent3">
    <w:name w:val="Grid Table 4 Accent 3"/>
    <w:basedOn w:val="TableNormal"/>
    <w:uiPriority w:val="49"/>
    <w:semiHidden/>
    <w:rsid w:val="007755BA"/>
    <w:pPr>
      <w:spacing w:line="240" w:lineRule="auto"/>
    </w:pPr>
    <w:tblPr>
      <w:tblStyleRowBandSize w:val="1"/>
      <w:tblStyleColBandSize w:val="1"/>
      <w:tblBorders>
        <w:top w:val="single" w:sz="4" w:space="0" w:color="B1E3FF" w:themeColor="accent3" w:themeTint="99"/>
        <w:left w:val="single" w:sz="4" w:space="0" w:color="B1E3FF" w:themeColor="accent3" w:themeTint="99"/>
        <w:bottom w:val="single" w:sz="4" w:space="0" w:color="B1E3FF" w:themeColor="accent3" w:themeTint="99"/>
        <w:right w:val="single" w:sz="4" w:space="0" w:color="B1E3FF" w:themeColor="accent3" w:themeTint="99"/>
        <w:insideH w:val="single" w:sz="4" w:space="0" w:color="B1E3FF" w:themeColor="accent3" w:themeTint="99"/>
        <w:insideV w:val="single" w:sz="4" w:space="0" w:color="B1E3FF" w:themeColor="accent3" w:themeTint="99"/>
      </w:tblBorders>
    </w:tblPr>
    <w:tblStylePr w:type="firstRow">
      <w:rPr>
        <w:b/>
        <w:bCs/>
        <w:color w:val="FFFFFF" w:themeColor="background1"/>
      </w:rPr>
      <w:tblPr/>
      <w:tcPr>
        <w:tcBorders>
          <w:top w:val="single" w:sz="4" w:space="0" w:color="7ED2FF" w:themeColor="accent3"/>
          <w:left w:val="single" w:sz="4" w:space="0" w:color="7ED2FF" w:themeColor="accent3"/>
          <w:bottom w:val="single" w:sz="4" w:space="0" w:color="7ED2FF" w:themeColor="accent3"/>
          <w:right w:val="single" w:sz="4" w:space="0" w:color="7ED2FF" w:themeColor="accent3"/>
          <w:insideH w:val="nil"/>
          <w:insideV w:val="nil"/>
        </w:tcBorders>
        <w:shd w:val="clear" w:color="auto" w:fill="7ED2FF" w:themeFill="accent3"/>
      </w:tcPr>
    </w:tblStylePr>
    <w:tblStylePr w:type="lastRow">
      <w:rPr>
        <w:b/>
        <w:bCs/>
      </w:rPr>
      <w:tblPr/>
      <w:tcPr>
        <w:tcBorders>
          <w:top w:val="double" w:sz="4" w:space="0" w:color="7ED2FF" w:themeColor="accent3"/>
        </w:tcBorders>
      </w:tcPr>
    </w:tblStylePr>
    <w:tblStylePr w:type="firstCol">
      <w:rPr>
        <w:b/>
        <w:bCs/>
      </w:rPr>
    </w:tblStylePr>
    <w:tblStylePr w:type="lastCol">
      <w:rPr>
        <w:b/>
        <w:bCs/>
      </w:rPr>
    </w:tblStylePr>
    <w:tblStylePr w:type="band1Vert">
      <w:tblPr/>
      <w:tcPr>
        <w:shd w:val="clear" w:color="auto" w:fill="E5F5FF" w:themeFill="accent3" w:themeFillTint="33"/>
      </w:tcPr>
    </w:tblStylePr>
    <w:tblStylePr w:type="band1Horz">
      <w:tblPr/>
      <w:tcPr>
        <w:shd w:val="clear" w:color="auto" w:fill="E5F5FF" w:themeFill="accent3" w:themeFillTint="33"/>
      </w:tcPr>
    </w:tblStylePr>
  </w:style>
  <w:style w:type="table" w:styleId="GridTable4-Accent4">
    <w:name w:val="Grid Table 4 Accent 4"/>
    <w:basedOn w:val="TableNormal"/>
    <w:uiPriority w:val="49"/>
    <w:semiHidden/>
    <w:rsid w:val="007755BA"/>
    <w:pPr>
      <w:spacing w:line="240" w:lineRule="auto"/>
    </w:pPr>
    <w:tblPr>
      <w:tblStyleRowBandSize w:val="1"/>
      <w:tblStyleColBandSize w:val="1"/>
      <w:tblBorders>
        <w:top w:val="single" w:sz="4" w:space="0" w:color="59C1FF" w:themeColor="accent4" w:themeTint="99"/>
        <w:left w:val="single" w:sz="4" w:space="0" w:color="59C1FF" w:themeColor="accent4" w:themeTint="99"/>
        <w:bottom w:val="single" w:sz="4" w:space="0" w:color="59C1FF" w:themeColor="accent4" w:themeTint="99"/>
        <w:right w:val="single" w:sz="4" w:space="0" w:color="59C1FF" w:themeColor="accent4" w:themeTint="99"/>
        <w:insideH w:val="single" w:sz="4" w:space="0" w:color="59C1FF" w:themeColor="accent4" w:themeTint="99"/>
        <w:insideV w:val="single" w:sz="4" w:space="0" w:color="59C1FF" w:themeColor="accent4" w:themeTint="99"/>
      </w:tblBorders>
    </w:tblPr>
    <w:tblStylePr w:type="firstRow">
      <w:rPr>
        <w:b/>
        <w:bCs/>
        <w:color w:val="FFFFFF" w:themeColor="background1"/>
      </w:rPr>
      <w:tblPr/>
      <w:tcPr>
        <w:tcBorders>
          <w:top w:val="single" w:sz="4" w:space="0" w:color="0093EA" w:themeColor="accent4"/>
          <w:left w:val="single" w:sz="4" w:space="0" w:color="0093EA" w:themeColor="accent4"/>
          <w:bottom w:val="single" w:sz="4" w:space="0" w:color="0093EA" w:themeColor="accent4"/>
          <w:right w:val="single" w:sz="4" w:space="0" w:color="0093EA" w:themeColor="accent4"/>
          <w:insideH w:val="nil"/>
          <w:insideV w:val="nil"/>
        </w:tcBorders>
        <w:shd w:val="clear" w:color="auto" w:fill="0093EA" w:themeFill="accent4"/>
      </w:tcPr>
    </w:tblStylePr>
    <w:tblStylePr w:type="lastRow">
      <w:rPr>
        <w:b/>
        <w:bCs/>
      </w:rPr>
      <w:tblPr/>
      <w:tcPr>
        <w:tcBorders>
          <w:top w:val="double" w:sz="4" w:space="0" w:color="0093EA" w:themeColor="accent4"/>
        </w:tcBorders>
      </w:tcPr>
    </w:tblStylePr>
    <w:tblStylePr w:type="firstCol">
      <w:rPr>
        <w:b/>
        <w:bCs/>
      </w:rPr>
    </w:tblStylePr>
    <w:tblStylePr w:type="lastCol">
      <w:rPr>
        <w:b/>
        <w:bCs/>
      </w:rPr>
    </w:tblStylePr>
    <w:tblStylePr w:type="band1Vert">
      <w:tblPr/>
      <w:tcPr>
        <w:shd w:val="clear" w:color="auto" w:fill="C7EAFF" w:themeFill="accent4" w:themeFillTint="33"/>
      </w:tcPr>
    </w:tblStylePr>
    <w:tblStylePr w:type="band1Horz">
      <w:tblPr/>
      <w:tcPr>
        <w:shd w:val="clear" w:color="auto" w:fill="C7EAFF" w:themeFill="accent4" w:themeFillTint="33"/>
      </w:tcPr>
    </w:tblStylePr>
  </w:style>
  <w:style w:type="table" w:styleId="GridTable4-Accent5">
    <w:name w:val="Grid Table 4 Accent 5"/>
    <w:basedOn w:val="TableNormal"/>
    <w:uiPriority w:val="49"/>
    <w:semiHidden/>
    <w:rsid w:val="007755BA"/>
    <w:pPr>
      <w:spacing w:line="240" w:lineRule="auto"/>
    </w:pPr>
    <w:tblPr>
      <w:tblStyleRowBandSize w:val="1"/>
      <w:tblStyleColBandSize w:val="1"/>
      <w:tblBorders>
        <w:top w:val="single" w:sz="4" w:space="0" w:color="5182E3" w:themeColor="accent5" w:themeTint="99"/>
        <w:left w:val="single" w:sz="4" w:space="0" w:color="5182E3" w:themeColor="accent5" w:themeTint="99"/>
        <w:bottom w:val="single" w:sz="4" w:space="0" w:color="5182E3" w:themeColor="accent5" w:themeTint="99"/>
        <w:right w:val="single" w:sz="4" w:space="0" w:color="5182E3" w:themeColor="accent5" w:themeTint="99"/>
        <w:insideH w:val="single" w:sz="4" w:space="0" w:color="5182E3" w:themeColor="accent5" w:themeTint="99"/>
        <w:insideV w:val="single" w:sz="4" w:space="0" w:color="5182E3" w:themeColor="accent5" w:themeTint="99"/>
      </w:tblBorders>
    </w:tblPr>
    <w:tblStylePr w:type="firstRow">
      <w:rPr>
        <w:b/>
        <w:bCs/>
        <w:color w:val="FFFFFF" w:themeColor="background1"/>
      </w:rPr>
      <w:tblPr/>
      <w:tcPr>
        <w:tcBorders>
          <w:top w:val="single" w:sz="4" w:space="0" w:color="184398" w:themeColor="accent5"/>
          <w:left w:val="single" w:sz="4" w:space="0" w:color="184398" w:themeColor="accent5"/>
          <w:bottom w:val="single" w:sz="4" w:space="0" w:color="184398" w:themeColor="accent5"/>
          <w:right w:val="single" w:sz="4" w:space="0" w:color="184398" w:themeColor="accent5"/>
          <w:insideH w:val="nil"/>
          <w:insideV w:val="nil"/>
        </w:tcBorders>
        <w:shd w:val="clear" w:color="auto" w:fill="184398" w:themeFill="accent5"/>
      </w:tcPr>
    </w:tblStylePr>
    <w:tblStylePr w:type="lastRow">
      <w:rPr>
        <w:b/>
        <w:bCs/>
      </w:rPr>
      <w:tblPr/>
      <w:tcPr>
        <w:tcBorders>
          <w:top w:val="double" w:sz="4" w:space="0" w:color="184398" w:themeColor="accent5"/>
        </w:tcBorders>
      </w:tc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table" w:styleId="GridTable4-Accent6">
    <w:name w:val="Grid Table 4 Accent 6"/>
    <w:basedOn w:val="TableNormal"/>
    <w:uiPriority w:val="49"/>
    <w:semiHidden/>
    <w:rsid w:val="007755BA"/>
    <w:pPr>
      <w:spacing w:line="240" w:lineRule="auto"/>
    </w:pPr>
    <w:tblPr>
      <w:tblStyleRowBandSize w:val="1"/>
      <w:tblStyleColBandSize w:val="1"/>
      <w:tblBorders>
        <w:top w:val="single" w:sz="4" w:space="0" w:color="36FFFD" w:themeColor="accent6" w:themeTint="99"/>
        <w:left w:val="single" w:sz="4" w:space="0" w:color="36FFFD" w:themeColor="accent6" w:themeTint="99"/>
        <w:bottom w:val="single" w:sz="4" w:space="0" w:color="36FFFD" w:themeColor="accent6" w:themeTint="99"/>
        <w:right w:val="single" w:sz="4" w:space="0" w:color="36FFFD" w:themeColor="accent6" w:themeTint="99"/>
        <w:insideH w:val="single" w:sz="4" w:space="0" w:color="36FFFD" w:themeColor="accent6" w:themeTint="99"/>
        <w:insideV w:val="single" w:sz="4" w:space="0" w:color="36FFFD" w:themeColor="accent6" w:themeTint="99"/>
      </w:tblBorders>
    </w:tblPr>
    <w:tblStylePr w:type="firstRow">
      <w:rPr>
        <w:b/>
        <w:bCs/>
        <w:color w:val="FFFFFF" w:themeColor="background1"/>
      </w:rPr>
      <w:tblPr/>
      <w:tcPr>
        <w:tcBorders>
          <w:top w:val="single" w:sz="4" w:space="0" w:color="00AFAE" w:themeColor="accent6"/>
          <w:left w:val="single" w:sz="4" w:space="0" w:color="00AFAE" w:themeColor="accent6"/>
          <w:bottom w:val="single" w:sz="4" w:space="0" w:color="00AFAE" w:themeColor="accent6"/>
          <w:right w:val="single" w:sz="4" w:space="0" w:color="00AFAE" w:themeColor="accent6"/>
          <w:insideH w:val="nil"/>
          <w:insideV w:val="nil"/>
        </w:tcBorders>
        <w:shd w:val="clear" w:color="auto" w:fill="00AFAE" w:themeFill="accent6"/>
      </w:tcPr>
    </w:tblStylePr>
    <w:tblStylePr w:type="lastRow">
      <w:rPr>
        <w:b/>
        <w:bCs/>
      </w:rPr>
      <w:tblPr/>
      <w:tcPr>
        <w:tcBorders>
          <w:top w:val="double" w:sz="4" w:space="0" w:color="00AFAE" w:themeColor="accent6"/>
        </w:tcBorders>
      </w:tcPr>
    </w:tblStylePr>
    <w:tblStylePr w:type="firstCol">
      <w:rPr>
        <w:b/>
        <w:bCs/>
      </w:rPr>
    </w:tblStylePr>
    <w:tblStylePr w:type="lastCol">
      <w:rPr>
        <w:b/>
        <w:bCs/>
      </w:rPr>
    </w:tblStylePr>
    <w:tblStylePr w:type="band1Vert">
      <w:tblPr/>
      <w:tcPr>
        <w:shd w:val="clear" w:color="auto" w:fill="BCFFFE" w:themeFill="accent6" w:themeFillTint="33"/>
      </w:tcPr>
    </w:tblStylePr>
    <w:tblStylePr w:type="band1Horz">
      <w:tblPr/>
      <w:tcPr>
        <w:shd w:val="clear" w:color="auto" w:fill="BCFFFE" w:themeFill="accent6" w:themeFillTint="33"/>
      </w:tcPr>
    </w:tblStylePr>
  </w:style>
  <w:style w:type="table" w:styleId="GridTable5Dark">
    <w:name w:val="Grid Table 5 Dark"/>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F1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4E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4E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4E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4EE" w:themeFill="accent1"/>
      </w:tcPr>
    </w:tblStylePr>
    <w:tblStylePr w:type="band1Vert">
      <w:tblPr/>
      <w:tcPr>
        <w:shd w:val="clear" w:color="auto" w:fill="92E4FF" w:themeFill="accent1" w:themeFillTint="66"/>
      </w:tcPr>
    </w:tblStylePr>
    <w:tblStylePr w:type="band1Horz">
      <w:tblPr/>
      <w:tcPr>
        <w:shd w:val="clear" w:color="auto" w:fill="92E4FF" w:themeFill="accent1" w:themeFillTint="66"/>
      </w:tcPr>
    </w:tblStylePr>
  </w:style>
  <w:style w:type="table" w:styleId="GridTable5Dark-Accent2">
    <w:name w:val="Grid Table 5 Dark Accent 2"/>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E2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6CC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6CC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6CC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6CCD" w:themeFill="accent2"/>
      </w:tcPr>
    </w:tblStylePr>
    <w:tblStylePr w:type="band1Vert">
      <w:tblPr/>
      <w:tcPr>
        <w:shd w:val="clear" w:color="auto" w:fill="85C5FF" w:themeFill="accent2" w:themeFillTint="66"/>
      </w:tcPr>
    </w:tblStylePr>
    <w:tblStylePr w:type="band1Horz">
      <w:tblPr/>
      <w:tcPr>
        <w:shd w:val="clear" w:color="auto" w:fill="85C5FF" w:themeFill="accent2" w:themeFillTint="66"/>
      </w:tcPr>
    </w:tblStylePr>
  </w:style>
  <w:style w:type="table" w:styleId="GridTable5Dark-Accent3">
    <w:name w:val="Grid Table 5 Dark Accent 3"/>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F5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ED2F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ED2F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ED2F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ED2FF" w:themeFill="accent3"/>
      </w:tcPr>
    </w:tblStylePr>
    <w:tblStylePr w:type="band1Vert">
      <w:tblPr/>
      <w:tcPr>
        <w:shd w:val="clear" w:color="auto" w:fill="CBECFF" w:themeFill="accent3" w:themeFillTint="66"/>
      </w:tcPr>
    </w:tblStylePr>
    <w:tblStylePr w:type="band1Horz">
      <w:tblPr/>
      <w:tcPr>
        <w:shd w:val="clear" w:color="auto" w:fill="CBECFF" w:themeFill="accent3" w:themeFillTint="66"/>
      </w:tcPr>
    </w:tblStylePr>
  </w:style>
  <w:style w:type="table" w:styleId="GridTable5Dark-Accent4">
    <w:name w:val="Grid Table 5 Dark Accent 4"/>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EA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3EA"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3EA"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3EA"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3EA" w:themeFill="accent4"/>
      </w:tcPr>
    </w:tblStylePr>
    <w:tblStylePr w:type="band1Vert">
      <w:tblPr/>
      <w:tcPr>
        <w:shd w:val="clear" w:color="auto" w:fill="90D5FF" w:themeFill="accent4" w:themeFillTint="66"/>
      </w:tcPr>
    </w:tblStylePr>
    <w:tblStylePr w:type="band1Horz">
      <w:tblPr/>
      <w:tcPr>
        <w:shd w:val="clear" w:color="auto" w:fill="90D5FF" w:themeFill="accent4" w:themeFillTint="66"/>
      </w:tcPr>
    </w:tblStylePr>
  </w:style>
  <w:style w:type="table" w:styleId="GridTable5Dark-Accent5">
    <w:name w:val="Grid Table 5 Dark Accent 5"/>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5D5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8439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8439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8439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84398" w:themeFill="accent5"/>
      </w:tcPr>
    </w:tblStylePr>
    <w:tblStylePr w:type="band1Vert">
      <w:tblPr/>
      <w:tcPr>
        <w:shd w:val="clear" w:color="auto" w:fill="8BABEC" w:themeFill="accent5" w:themeFillTint="66"/>
      </w:tcPr>
    </w:tblStylePr>
    <w:tblStylePr w:type="band1Horz">
      <w:tblPr/>
      <w:tcPr>
        <w:shd w:val="clear" w:color="auto" w:fill="8BABEC" w:themeFill="accent5" w:themeFillTint="66"/>
      </w:tcPr>
    </w:tblStylePr>
  </w:style>
  <w:style w:type="table" w:styleId="GridTable5Dark-Accent6">
    <w:name w:val="Grid Table 5 Dark Accent 6"/>
    <w:basedOn w:val="TableNormal"/>
    <w:uiPriority w:val="50"/>
    <w:semiHidden/>
    <w:rsid w:val="007755B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FA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FA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FA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FAE" w:themeFill="accent6"/>
      </w:tcPr>
    </w:tblStylePr>
    <w:tblStylePr w:type="band1Vert">
      <w:tblPr/>
      <w:tcPr>
        <w:shd w:val="clear" w:color="auto" w:fill="79FFFD" w:themeFill="accent6" w:themeFillTint="66"/>
      </w:tcPr>
    </w:tblStylePr>
    <w:tblStylePr w:type="band1Horz">
      <w:tblPr/>
      <w:tcPr>
        <w:shd w:val="clear" w:color="auto" w:fill="79FFFD" w:themeFill="accent6" w:themeFillTint="66"/>
      </w:tcPr>
    </w:tblStylePr>
  </w:style>
  <w:style w:type="table" w:styleId="GridTable6Colorful">
    <w:name w:val="Grid Table 6 Colorful"/>
    <w:basedOn w:val="TableNormal"/>
    <w:uiPriority w:val="51"/>
    <w:semiHidden/>
    <w:rsid w:val="007755BA"/>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755BA"/>
    <w:pPr>
      <w:spacing w:line="240" w:lineRule="auto"/>
    </w:pPr>
    <w:rPr>
      <w:color w:val="0086B2" w:themeColor="accent1" w:themeShade="BF"/>
    </w:rPr>
    <w:tblPr>
      <w:tblStyleRowBandSize w:val="1"/>
      <w:tblStyleColBandSize w:val="1"/>
      <w:tblBorders>
        <w:top w:val="single" w:sz="4" w:space="0" w:color="5BD6FF" w:themeColor="accent1" w:themeTint="99"/>
        <w:left w:val="single" w:sz="4" w:space="0" w:color="5BD6FF" w:themeColor="accent1" w:themeTint="99"/>
        <w:bottom w:val="single" w:sz="4" w:space="0" w:color="5BD6FF" w:themeColor="accent1" w:themeTint="99"/>
        <w:right w:val="single" w:sz="4" w:space="0" w:color="5BD6FF" w:themeColor="accent1" w:themeTint="99"/>
        <w:insideH w:val="single" w:sz="4" w:space="0" w:color="5BD6FF" w:themeColor="accent1" w:themeTint="99"/>
        <w:insideV w:val="single" w:sz="4" w:space="0" w:color="5BD6FF" w:themeColor="accent1" w:themeTint="99"/>
      </w:tblBorders>
    </w:tblPr>
    <w:tblStylePr w:type="firstRow">
      <w:rPr>
        <w:b/>
        <w:bCs/>
      </w:rPr>
      <w:tblPr/>
      <w:tcPr>
        <w:tcBorders>
          <w:bottom w:val="single" w:sz="12" w:space="0" w:color="5BD6FF" w:themeColor="accent1" w:themeTint="99"/>
        </w:tcBorders>
      </w:tcPr>
    </w:tblStylePr>
    <w:tblStylePr w:type="lastRow">
      <w:rPr>
        <w:b/>
        <w:bCs/>
      </w:rPr>
      <w:tblPr/>
      <w:tcPr>
        <w:tcBorders>
          <w:top w:val="double" w:sz="4" w:space="0" w:color="5BD6FF" w:themeColor="accent1" w:themeTint="99"/>
        </w:tcBorders>
      </w:tcPr>
    </w:tblStylePr>
    <w:tblStylePr w:type="firstCol">
      <w:rPr>
        <w:b/>
        <w:bCs/>
      </w:rPr>
    </w:tblStylePr>
    <w:tblStylePr w:type="lastCol">
      <w:rPr>
        <w:b/>
        <w:bCs/>
      </w:rPr>
    </w:tblStylePr>
    <w:tblStylePr w:type="band1Vert">
      <w:tblPr/>
      <w:tcPr>
        <w:shd w:val="clear" w:color="auto" w:fill="C8F1FF" w:themeFill="accent1" w:themeFillTint="33"/>
      </w:tcPr>
    </w:tblStylePr>
    <w:tblStylePr w:type="band1Horz">
      <w:tblPr/>
      <w:tcPr>
        <w:shd w:val="clear" w:color="auto" w:fill="C8F1FF" w:themeFill="accent1" w:themeFillTint="33"/>
      </w:tcPr>
    </w:tblStylePr>
  </w:style>
  <w:style w:type="table" w:styleId="GridTable6Colorful-Accent2">
    <w:name w:val="Grid Table 6 Colorful Accent 2"/>
    <w:basedOn w:val="TableNormal"/>
    <w:uiPriority w:val="51"/>
    <w:semiHidden/>
    <w:rsid w:val="007755BA"/>
    <w:pPr>
      <w:spacing w:line="240" w:lineRule="auto"/>
    </w:pPr>
    <w:rPr>
      <w:color w:val="005099" w:themeColor="accent2" w:themeShade="BF"/>
    </w:rPr>
    <w:tblPr>
      <w:tblStyleRowBandSize w:val="1"/>
      <w:tblStyleColBandSize w:val="1"/>
      <w:tblBorders>
        <w:top w:val="single" w:sz="4" w:space="0" w:color="48A8FF" w:themeColor="accent2" w:themeTint="99"/>
        <w:left w:val="single" w:sz="4" w:space="0" w:color="48A8FF" w:themeColor="accent2" w:themeTint="99"/>
        <w:bottom w:val="single" w:sz="4" w:space="0" w:color="48A8FF" w:themeColor="accent2" w:themeTint="99"/>
        <w:right w:val="single" w:sz="4" w:space="0" w:color="48A8FF" w:themeColor="accent2" w:themeTint="99"/>
        <w:insideH w:val="single" w:sz="4" w:space="0" w:color="48A8FF" w:themeColor="accent2" w:themeTint="99"/>
        <w:insideV w:val="single" w:sz="4" w:space="0" w:color="48A8FF" w:themeColor="accent2" w:themeTint="99"/>
      </w:tblBorders>
    </w:tblPr>
    <w:tblStylePr w:type="firstRow">
      <w:rPr>
        <w:b/>
        <w:bCs/>
      </w:rPr>
      <w:tblPr/>
      <w:tcPr>
        <w:tcBorders>
          <w:bottom w:val="single" w:sz="12" w:space="0" w:color="48A8FF" w:themeColor="accent2" w:themeTint="99"/>
        </w:tcBorders>
      </w:tcPr>
    </w:tblStylePr>
    <w:tblStylePr w:type="lastRow">
      <w:rPr>
        <w:b/>
        <w:bCs/>
      </w:rPr>
      <w:tblPr/>
      <w:tcPr>
        <w:tcBorders>
          <w:top w:val="double" w:sz="4" w:space="0" w:color="48A8FF" w:themeColor="accent2" w:themeTint="99"/>
        </w:tcBorders>
      </w:tcPr>
    </w:tblStylePr>
    <w:tblStylePr w:type="firstCol">
      <w:rPr>
        <w:b/>
        <w:bCs/>
      </w:rPr>
    </w:tblStylePr>
    <w:tblStylePr w:type="lastCol">
      <w:rPr>
        <w:b/>
        <w:bCs/>
      </w:rPr>
    </w:tblStylePr>
    <w:tblStylePr w:type="band1Vert">
      <w:tblPr/>
      <w:tcPr>
        <w:shd w:val="clear" w:color="auto" w:fill="C2E2FF" w:themeFill="accent2" w:themeFillTint="33"/>
      </w:tcPr>
    </w:tblStylePr>
    <w:tblStylePr w:type="band1Horz">
      <w:tblPr/>
      <w:tcPr>
        <w:shd w:val="clear" w:color="auto" w:fill="C2E2FF" w:themeFill="accent2" w:themeFillTint="33"/>
      </w:tcPr>
    </w:tblStylePr>
  </w:style>
  <w:style w:type="table" w:styleId="GridTable6Colorful-Accent3">
    <w:name w:val="Grid Table 6 Colorful Accent 3"/>
    <w:basedOn w:val="TableNormal"/>
    <w:uiPriority w:val="51"/>
    <w:semiHidden/>
    <w:rsid w:val="007755BA"/>
    <w:pPr>
      <w:spacing w:line="240" w:lineRule="auto"/>
    </w:pPr>
    <w:rPr>
      <w:color w:val="1EB0FF" w:themeColor="accent3" w:themeShade="BF"/>
    </w:rPr>
    <w:tblPr>
      <w:tblStyleRowBandSize w:val="1"/>
      <w:tblStyleColBandSize w:val="1"/>
      <w:tblBorders>
        <w:top w:val="single" w:sz="4" w:space="0" w:color="B1E3FF" w:themeColor="accent3" w:themeTint="99"/>
        <w:left w:val="single" w:sz="4" w:space="0" w:color="B1E3FF" w:themeColor="accent3" w:themeTint="99"/>
        <w:bottom w:val="single" w:sz="4" w:space="0" w:color="B1E3FF" w:themeColor="accent3" w:themeTint="99"/>
        <w:right w:val="single" w:sz="4" w:space="0" w:color="B1E3FF" w:themeColor="accent3" w:themeTint="99"/>
        <w:insideH w:val="single" w:sz="4" w:space="0" w:color="B1E3FF" w:themeColor="accent3" w:themeTint="99"/>
        <w:insideV w:val="single" w:sz="4" w:space="0" w:color="B1E3FF" w:themeColor="accent3" w:themeTint="99"/>
      </w:tblBorders>
    </w:tblPr>
    <w:tblStylePr w:type="firstRow">
      <w:rPr>
        <w:b/>
        <w:bCs/>
      </w:rPr>
      <w:tblPr/>
      <w:tcPr>
        <w:tcBorders>
          <w:bottom w:val="single" w:sz="12" w:space="0" w:color="B1E3FF" w:themeColor="accent3" w:themeTint="99"/>
        </w:tcBorders>
      </w:tcPr>
    </w:tblStylePr>
    <w:tblStylePr w:type="lastRow">
      <w:rPr>
        <w:b/>
        <w:bCs/>
      </w:rPr>
      <w:tblPr/>
      <w:tcPr>
        <w:tcBorders>
          <w:top w:val="double" w:sz="4" w:space="0" w:color="B1E3FF" w:themeColor="accent3" w:themeTint="99"/>
        </w:tcBorders>
      </w:tcPr>
    </w:tblStylePr>
    <w:tblStylePr w:type="firstCol">
      <w:rPr>
        <w:b/>
        <w:bCs/>
      </w:rPr>
    </w:tblStylePr>
    <w:tblStylePr w:type="lastCol">
      <w:rPr>
        <w:b/>
        <w:bCs/>
      </w:rPr>
    </w:tblStylePr>
    <w:tblStylePr w:type="band1Vert">
      <w:tblPr/>
      <w:tcPr>
        <w:shd w:val="clear" w:color="auto" w:fill="E5F5FF" w:themeFill="accent3" w:themeFillTint="33"/>
      </w:tcPr>
    </w:tblStylePr>
    <w:tblStylePr w:type="band1Horz">
      <w:tblPr/>
      <w:tcPr>
        <w:shd w:val="clear" w:color="auto" w:fill="E5F5FF" w:themeFill="accent3" w:themeFillTint="33"/>
      </w:tcPr>
    </w:tblStylePr>
  </w:style>
  <w:style w:type="table" w:styleId="GridTable6Colorful-Accent4">
    <w:name w:val="Grid Table 6 Colorful Accent 4"/>
    <w:basedOn w:val="TableNormal"/>
    <w:uiPriority w:val="51"/>
    <w:semiHidden/>
    <w:rsid w:val="007755BA"/>
    <w:pPr>
      <w:spacing w:line="240" w:lineRule="auto"/>
    </w:pPr>
    <w:rPr>
      <w:color w:val="006DAF" w:themeColor="accent4" w:themeShade="BF"/>
    </w:rPr>
    <w:tblPr>
      <w:tblStyleRowBandSize w:val="1"/>
      <w:tblStyleColBandSize w:val="1"/>
      <w:tblBorders>
        <w:top w:val="single" w:sz="4" w:space="0" w:color="59C1FF" w:themeColor="accent4" w:themeTint="99"/>
        <w:left w:val="single" w:sz="4" w:space="0" w:color="59C1FF" w:themeColor="accent4" w:themeTint="99"/>
        <w:bottom w:val="single" w:sz="4" w:space="0" w:color="59C1FF" w:themeColor="accent4" w:themeTint="99"/>
        <w:right w:val="single" w:sz="4" w:space="0" w:color="59C1FF" w:themeColor="accent4" w:themeTint="99"/>
        <w:insideH w:val="single" w:sz="4" w:space="0" w:color="59C1FF" w:themeColor="accent4" w:themeTint="99"/>
        <w:insideV w:val="single" w:sz="4" w:space="0" w:color="59C1FF" w:themeColor="accent4" w:themeTint="99"/>
      </w:tblBorders>
    </w:tblPr>
    <w:tblStylePr w:type="firstRow">
      <w:rPr>
        <w:b/>
        <w:bCs/>
      </w:rPr>
      <w:tblPr/>
      <w:tcPr>
        <w:tcBorders>
          <w:bottom w:val="single" w:sz="12" w:space="0" w:color="59C1FF" w:themeColor="accent4" w:themeTint="99"/>
        </w:tcBorders>
      </w:tcPr>
    </w:tblStylePr>
    <w:tblStylePr w:type="lastRow">
      <w:rPr>
        <w:b/>
        <w:bCs/>
      </w:rPr>
      <w:tblPr/>
      <w:tcPr>
        <w:tcBorders>
          <w:top w:val="double" w:sz="4" w:space="0" w:color="59C1FF" w:themeColor="accent4" w:themeTint="99"/>
        </w:tcBorders>
      </w:tcPr>
    </w:tblStylePr>
    <w:tblStylePr w:type="firstCol">
      <w:rPr>
        <w:b/>
        <w:bCs/>
      </w:rPr>
    </w:tblStylePr>
    <w:tblStylePr w:type="lastCol">
      <w:rPr>
        <w:b/>
        <w:bCs/>
      </w:rPr>
    </w:tblStylePr>
    <w:tblStylePr w:type="band1Vert">
      <w:tblPr/>
      <w:tcPr>
        <w:shd w:val="clear" w:color="auto" w:fill="C7EAFF" w:themeFill="accent4" w:themeFillTint="33"/>
      </w:tcPr>
    </w:tblStylePr>
    <w:tblStylePr w:type="band1Horz">
      <w:tblPr/>
      <w:tcPr>
        <w:shd w:val="clear" w:color="auto" w:fill="C7EAFF" w:themeFill="accent4" w:themeFillTint="33"/>
      </w:tcPr>
    </w:tblStylePr>
  </w:style>
  <w:style w:type="table" w:styleId="GridTable6Colorful-Accent5">
    <w:name w:val="Grid Table 6 Colorful Accent 5"/>
    <w:basedOn w:val="TableNormal"/>
    <w:uiPriority w:val="51"/>
    <w:semiHidden/>
    <w:rsid w:val="007755BA"/>
    <w:pPr>
      <w:spacing w:line="240" w:lineRule="auto"/>
    </w:pPr>
    <w:rPr>
      <w:color w:val="123171" w:themeColor="accent5" w:themeShade="BF"/>
    </w:rPr>
    <w:tblPr>
      <w:tblStyleRowBandSize w:val="1"/>
      <w:tblStyleColBandSize w:val="1"/>
      <w:tblBorders>
        <w:top w:val="single" w:sz="4" w:space="0" w:color="5182E3" w:themeColor="accent5" w:themeTint="99"/>
        <w:left w:val="single" w:sz="4" w:space="0" w:color="5182E3" w:themeColor="accent5" w:themeTint="99"/>
        <w:bottom w:val="single" w:sz="4" w:space="0" w:color="5182E3" w:themeColor="accent5" w:themeTint="99"/>
        <w:right w:val="single" w:sz="4" w:space="0" w:color="5182E3" w:themeColor="accent5" w:themeTint="99"/>
        <w:insideH w:val="single" w:sz="4" w:space="0" w:color="5182E3" w:themeColor="accent5" w:themeTint="99"/>
        <w:insideV w:val="single" w:sz="4" w:space="0" w:color="5182E3" w:themeColor="accent5" w:themeTint="99"/>
      </w:tblBorders>
    </w:tblPr>
    <w:tblStylePr w:type="firstRow">
      <w:rPr>
        <w:b/>
        <w:bCs/>
      </w:rPr>
      <w:tblPr/>
      <w:tcPr>
        <w:tcBorders>
          <w:bottom w:val="single" w:sz="12" w:space="0" w:color="5182E3" w:themeColor="accent5" w:themeTint="99"/>
        </w:tcBorders>
      </w:tcPr>
    </w:tblStylePr>
    <w:tblStylePr w:type="lastRow">
      <w:rPr>
        <w:b/>
        <w:bCs/>
      </w:rPr>
      <w:tblPr/>
      <w:tcPr>
        <w:tcBorders>
          <w:top w:val="double" w:sz="4" w:space="0" w:color="5182E3" w:themeColor="accent5" w:themeTint="99"/>
        </w:tcBorders>
      </w:tc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table" w:styleId="GridTable6Colorful-Accent6">
    <w:name w:val="Grid Table 6 Colorful Accent 6"/>
    <w:basedOn w:val="TableNormal"/>
    <w:uiPriority w:val="51"/>
    <w:semiHidden/>
    <w:rsid w:val="007755BA"/>
    <w:pPr>
      <w:spacing w:line="240" w:lineRule="auto"/>
    </w:pPr>
    <w:rPr>
      <w:color w:val="008381" w:themeColor="accent6" w:themeShade="BF"/>
    </w:rPr>
    <w:tblPr>
      <w:tblStyleRowBandSize w:val="1"/>
      <w:tblStyleColBandSize w:val="1"/>
      <w:tblBorders>
        <w:top w:val="single" w:sz="4" w:space="0" w:color="36FFFD" w:themeColor="accent6" w:themeTint="99"/>
        <w:left w:val="single" w:sz="4" w:space="0" w:color="36FFFD" w:themeColor="accent6" w:themeTint="99"/>
        <w:bottom w:val="single" w:sz="4" w:space="0" w:color="36FFFD" w:themeColor="accent6" w:themeTint="99"/>
        <w:right w:val="single" w:sz="4" w:space="0" w:color="36FFFD" w:themeColor="accent6" w:themeTint="99"/>
        <w:insideH w:val="single" w:sz="4" w:space="0" w:color="36FFFD" w:themeColor="accent6" w:themeTint="99"/>
        <w:insideV w:val="single" w:sz="4" w:space="0" w:color="36FFFD" w:themeColor="accent6" w:themeTint="99"/>
      </w:tblBorders>
    </w:tblPr>
    <w:tblStylePr w:type="firstRow">
      <w:rPr>
        <w:b/>
        <w:bCs/>
      </w:rPr>
      <w:tblPr/>
      <w:tcPr>
        <w:tcBorders>
          <w:bottom w:val="single" w:sz="12" w:space="0" w:color="36FFFD" w:themeColor="accent6" w:themeTint="99"/>
        </w:tcBorders>
      </w:tcPr>
    </w:tblStylePr>
    <w:tblStylePr w:type="lastRow">
      <w:rPr>
        <w:b/>
        <w:bCs/>
      </w:rPr>
      <w:tblPr/>
      <w:tcPr>
        <w:tcBorders>
          <w:top w:val="double" w:sz="4" w:space="0" w:color="36FFFD" w:themeColor="accent6" w:themeTint="99"/>
        </w:tcBorders>
      </w:tcPr>
    </w:tblStylePr>
    <w:tblStylePr w:type="firstCol">
      <w:rPr>
        <w:b/>
        <w:bCs/>
      </w:rPr>
    </w:tblStylePr>
    <w:tblStylePr w:type="lastCol">
      <w:rPr>
        <w:b/>
        <w:bCs/>
      </w:rPr>
    </w:tblStylePr>
    <w:tblStylePr w:type="band1Vert">
      <w:tblPr/>
      <w:tcPr>
        <w:shd w:val="clear" w:color="auto" w:fill="BCFFFE" w:themeFill="accent6" w:themeFillTint="33"/>
      </w:tcPr>
    </w:tblStylePr>
    <w:tblStylePr w:type="band1Horz">
      <w:tblPr/>
      <w:tcPr>
        <w:shd w:val="clear" w:color="auto" w:fill="BCFFFE" w:themeFill="accent6" w:themeFillTint="33"/>
      </w:tcPr>
    </w:tblStylePr>
  </w:style>
  <w:style w:type="table" w:styleId="GridTable7Colorful">
    <w:name w:val="Grid Table 7 Colorful"/>
    <w:basedOn w:val="TableNormal"/>
    <w:uiPriority w:val="52"/>
    <w:semiHidden/>
    <w:rsid w:val="007755BA"/>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755BA"/>
    <w:pPr>
      <w:spacing w:line="240" w:lineRule="auto"/>
    </w:pPr>
    <w:rPr>
      <w:color w:val="0086B2" w:themeColor="accent1" w:themeShade="BF"/>
    </w:rPr>
    <w:tblPr>
      <w:tblStyleRowBandSize w:val="1"/>
      <w:tblStyleColBandSize w:val="1"/>
      <w:tblBorders>
        <w:top w:val="single" w:sz="4" w:space="0" w:color="5BD6FF" w:themeColor="accent1" w:themeTint="99"/>
        <w:left w:val="single" w:sz="4" w:space="0" w:color="5BD6FF" w:themeColor="accent1" w:themeTint="99"/>
        <w:bottom w:val="single" w:sz="4" w:space="0" w:color="5BD6FF" w:themeColor="accent1" w:themeTint="99"/>
        <w:right w:val="single" w:sz="4" w:space="0" w:color="5BD6FF" w:themeColor="accent1" w:themeTint="99"/>
        <w:insideH w:val="single" w:sz="4" w:space="0" w:color="5BD6FF" w:themeColor="accent1" w:themeTint="99"/>
        <w:insideV w:val="single" w:sz="4" w:space="0" w:color="5BD6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F1FF" w:themeFill="accent1" w:themeFillTint="33"/>
      </w:tcPr>
    </w:tblStylePr>
    <w:tblStylePr w:type="band1Horz">
      <w:tblPr/>
      <w:tcPr>
        <w:shd w:val="clear" w:color="auto" w:fill="C8F1FF" w:themeFill="accent1" w:themeFillTint="33"/>
      </w:tcPr>
    </w:tblStylePr>
    <w:tblStylePr w:type="neCell">
      <w:tblPr/>
      <w:tcPr>
        <w:tcBorders>
          <w:bottom w:val="single" w:sz="4" w:space="0" w:color="5BD6FF" w:themeColor="accent1" w:themeTint="99"/>
        </w:tcBorders>
      </w:tcPr>
    </w:tblStylePr>
    <w:tblStylePr w:type="nwCell">
      <w:tblPr/>
      <w:tcPr>
        <w:tcBorders>
          <w:bottom w:val="single" w:sz="4" w:space="0" w:color="5BD6FF" w:themeColor="accent1" w:themeTint="99"/>
        </w:tcBorders>
      </w:tcPr>
    </w:tblStylePr>
    <w:tblStylePr w:type="seCell">
      <w:tblPr/>
      <w:tcPr>
        <w:tcBorders>
          <w:top w:val="single" w:sz="4" w:space="0" w:color="5BD6FF" w:themeColor="accent1" w:themeTint="99"/>
        </w:tcBorders>
      </w:tcPr>
    </w:tblStylePr>
    <w:tblStylePr w:type="swCell">
      <w:tblPr/>
      <w:tcPr>
        <w:tcBorders>
          <w:top w:val="single" w:sz="4" w:space="0" w:color="5BD6FF" w:themeColor="accent1" w:themeTint="99"/>
        </w:tcBorders>
      </w:tcPr>
    </w:tblStylePr>
  </w:style>
  <w:style w:type="table" w:styleId="GridTable7Colorful-Accent2">
    <w:name w:val="Grid Table 7 Colorful Accent 2"/>
    <w:basedOn w:val="TableNormal"/>
    <w:uiPriority w:val="52"/>
    <w:semiHidden/>
    <w:rsid w:val="007755BA"/>
    <w:pPr>
      <w:spacing w:line="240" w:lineRule="auto"/>
    </w:pPr>
    <w:rPr>
      <w:color w:val="005099" w:themeColor="accent2" w:themeShade="BF"/>
    </w:rPr>
    <w:tblPr>
      <w:tblStyleRowBandSize w:val="1"/>
      <w:tblStyleColBandSize w:val="1"/>
      <w:tblBorders>
        <w:top w:val="single" w:sz="4" w:space="0" w:color="48A8FF" w:themeColor="accent2" w:themeTint="99"/>
        <w:left w:val="single" w:sz="4" w:space="0" w:color="48A8FF" w:themeColor="accent2" w:themeTint="99"/>
        <w:bottom w:val="single" w:sz="4" w:space="0" w:color="48A8FF" w:themeColor="accent2" w:themeTint="99"/>
        <w:right w:val="single" w:sz="4" w:space="0" w:color="48A8FF" w:themeColor="accent2" w:themeTint="99"/>
        <w:insideH w:val="single" w:sz="4" w:space="0" w:color="48A8FF" w:themeColor="accent2" w:themeTint="99"/>
        <w:insideV w:val="single" w:sz="4" w:space="0" w:color="48A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2FF" w:themeFill="accent2" w:themeFillTint="33"/>
      </w:tcPr>
    </w:tblStylePr>
    <w:tblStylePr w:type="band1Horz">
      <w:tblPr/>
      <w:tcPr>
        <w:shd w:val="clear" w:color="auto" w:fill="C2E2FF" w:themeFill="accent2" w:themeFillTint="33"/>
      </w:tcPr>
    </w:tblStylePr>
    <w:tblStylePr w:type="neCell">
      <w:tblPr/>
      <w:tcPr>
        <w:tcBorders>
          <w:bottom w:val="single" w:sz="4" w:space="0" w:color="48A8FF" w:themeColor="accent2" w:themeTint="99"/>
        </w:tcBorders>
      </w:tcPr>
    </w:tblStylePr>
    <w:tblStylePr w:type="nwCell">
      <w:tblPr/>
      <w:tcPr>
        <w:tcBorders>
          <w:bottom w:val="single" w:sz="4" w:space="0" w:color="48A8FF" w:themeColor="accent2" w:themeTint="99"/>
        </w:tcBorders>
      </w:tcPr>
    </w:tblStylePr>
    <w:tblStylePr w:type="seCell">
      <w:tblPr/>
      <w:tcPr>
        <w:tcBorders>
          <w:top w:val="single" w:sz="4" w:space="0" w:color="48A8FF" w:themeColor="accent2" w:themeTint="99"/>
        </w:tcBorders>
      </w:tcPr>
    </w:tblStylePr>
    <w:tblStylePr w:type="swCell">
      <w:tblPr/>
      <w:tcPr>
        <w:tcBorders>
          <w:top w:val="single" w:sz="4" w:space="0" w:color="48A8FF" w:themeColor="accent2" w:themeTint="99"/>
        </w:tcBorders>
      </w:tcPr>
    </w:tblStylePr>
  </w:style>
  <w:style w:type="table" w:styleId="GridTable7Colorful-Accent3">
    <w:name w:val="Grid Table 7 Colorful Accent 3"/>
    <w:basedOn w:val="TableNormal"/>
    <w:uiPriority w:val="52"/>
    <w:semiHidden/>
    <w:rsid w:val="007755BA"/>
    <w:pPr>
      <w:spacing w:line="240" w:lineRule="auto"/>
    </w:pPr>
    <w:rPr>
      <w:color w:val="1EB0FF" w:themeColor="accent3" w:themeShade="BF"/>
    </w:rPr>
    <w:tblPr>
      <w:tblStyleRowBandSize w:val="1"/>
      <w:tblStyleColBandSize w:val="1"/>
      <w:tblBorders>
        <w:top w:val="single" w:sz="4" w:space="0" w:color="B1E3FF" w:themeColor="accent3" w:themeTint="99"/>
        <w:left w:val="single" w:sz="4" w:space="0" w:color="B1E3FF" w:themeColor="accent3" w:themeTint="99"/>
        <w:bottom w:val="single" w:sz="4" w:space="0" w:color="B1E3FF" w:themeColor="accent3" w:themeTint="99"/>
        <w:right w:val="single" w:sz="4" w:space="0" w:color="B1E3FF" w:themeColor="accent3" w:themeTint="99"/>
        <w:insideH w:val="single" w:sz="4" w:space="0" w:color="B1E3FF" w:themeColor="accent3" w:themeTint="99"/>
        <w:insideV w:val="single" w:sz="4" w:space="0" w:color="B1E3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F5FF" w:themeFill="accent3" w:themeFillTint="33"/>
      </w:tcPr>
    </w:tblStylePr>
    <w:tblStylePr w:type="band1Horz">
      <w:tblPr/>
      <w:tcPr>
        <w:shd w:val="clear" w:color="auto" w:fill="E5F5FF" w:themeFill="accent3" w:themeFillTint="33"/>
      </w:tcPr>
    </w:tblStylePr>
    <w:tblStylePr w:type="neCell">
      <w:tblPr/>
      <w:tcPr>
        <w:tcBorders>
          <w:bottom w:val="single" w:sz="4" w:space="0" w:color="B1E3FF" w:themeColor="accent3" w:themeTint="99"/>
        </w:tcBorders>
      </w:tcPr>
    </w:tblStylePr>
    <w:tblStylePr w:type="nwCell">
      <w:tblPr/>
      <w:tcPr>
        <w:tcBorders>
          <w:bottom w:val="single" w:sz="4" w:space="0" w:color="B1E3FF" w:themeColor="accent3" w:themeTint="99"/>
        </w:tcBorders>
      </w:tcPr>
    </w:tblStylePr>
    <w:tblStylePr w:type="seCell">
      <w:tblPr/>
      <w:tcPr>
        <w:tcBorders>
          <w:top w:val="single" w:sz="4" w:space="0" w:color="B1E3FF" w:themeColor="accent3" w:themeTint="99"/>
        </w:tcBorders>
      </w:tcPr>
    </w:tblStylePr>
    <w:tblStylePr w:type="swCell">
      <w:tblPr/>
      <w:tcPr>
        <w:tcBorders>
          <w:top w:val="single" w:sz="4" w:space="0" w:color="B1E3FF" w:themeColor="accent3" w:themeTint="99"/>
        </w:tcBorders>
      </w:tcPr>
    </w:tblStylePr>
  </w:style>
  <w:style w:type="table" w:styleId="GridTable7Colorful-Accent4">
    <w:name w:val="Grid Table 7 Colorful Accent 4"/>
    <w:basedOn w:val="TableNormal"/>
    <w:uiPriority w:val="52"/>
    <w:semiHidden/>
    <w:rsid w:val="007755BA"/>
    <w:pPr>
      <w:spacing w:line="240" w:lineRule="auto"/>
    </w:pPr>
    <w:rPr>
      <w:color w:val="006DAF" w:themeColor="accent4" w:themeShade="BF"/>
    </w:rPr>
    <w:tblPr>
      <w:tblStyleRowBandSize w:val="1"/>
      <w:tblStyleColBandSize w:val="1"/>
      <w:tblBorders>
        <w:top w:val="single" w:sz="4" w:space="0" w:color="59C1FF" w:themeColor="accent4" w:themeTint="99"/>
        <w:left w:val="single" w:sz="4" w:space="0" w:color="59C1FF" w:themeColor="accent4" w:themeTint="99"/>
        <w:bottom w:val="single" w:sz="4" w:space="0" w:color="59C1FF" w:themeColor="accent4" w:themeTint="99"/>
        <w:right w:val="single" w:sz="4" w:space="0" w:color="59C1FF" w:themeColor="accent4" w:themeTint="99"/>
        <w:insideH w:val="single" w:sz="4" w:space="0" w:color="59C1FF" w:themeColor="accent4" w:themeTint="99"/>
        <w:insideV w:val="single" w:sz="4" w:space="0" w:color="59C1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EAFF" w:themeFill="accent4" w:themeFillTint="33"/>
      </w:tcPr>
    </w:tblStylePr>
    <w:tblStylePr w:type="band1Horz">
      <w:tblPr/>
      <w:tcPr>
        <w:shd w:val="clear" w:color="auto" w:fill="C7EAFF" w:themeFill="accent4" w:themeFillTint="33"/>
      </w:tcPr>
    </w:tblStylePr>
    <w:tblStylePr w:type="neCell">
      <w:tblPr/>
      <w:tcPr>
        <w:tcBorders>
          <w:bottom w:val="single" w:sz="4" w:space="0" w:color="59C1FF" w:themeColor="accent4" w:themeTint="99"/>
        </w:tcBorders>
      </w:tcPr>
    </w:tblStylePr>
    <w:tblStylePr w:type="nwCell">
      <w:tblPr/>
      <w:tcPr>
        <w:tcBorders>
          <w:bottom w:val="single" w:sz="4" w:space="0" w:color="59C1FF" w:themeColor="accent4" w:themeTint="99"/>
        </w:tcBorders>
      </w:tcPr>
    </w:tblStylePr>
    <w:tblStylePr w:type="seCell">
      <w:tblPr/>
      <w:tcPr>
        <w:tcBorders>
          <w:top w:val="single" w:sz="4" w:space="0" w:color="59C1FF" w:themeColor="accent4" w:themeTint="99"/>
        </w:tcBorders>
      </w:tcPr>
    </w:tblStylePr>
    <w:tblStylePr w:type="swCell">
      <w:tblPr/>
      <w:tcPr>
        <w:tcBorders>
          <w:top w:val="single" w:sz="4" w:space="0" w:color="59C1FF" w:themeColor="accent4" w:themeTint="99"/>
        </w:tcBorders>
      </w:tcPr>
    </w:tblStylePr>
  </w:style>
  <w:style w:type="table" w:styleId="GridTable7Colorful-Accent5">
    <w:name w:val="Grid Table 7 Colorful Accent 5"/>
    <w:basedOn w:val="TableNormal"/>
    <w:uiPriority w:val="52"/>
    <w:semiHidden/>
    <w:rsid w:val="007755BA"/>
    <w:pPr>
      <w:spacing w:line="240" w:lineRule="auto"/>
    </w:pPr>
    <w:rPr>
      <w:color w:val="123171" w:themeColor="accent5" w:themeShade="BF"/>
    </w:rPr>
    <w:tblPr>
      <w:tblStyleRowBandSize w:val="1"/>
      <w:tblStyleColBandSize w:val="1"/>
      <w:tblBorders>
        <w:top w:val="single" w:sz="4" w:space="0" w:color="5182E3" w:themeColor="accent5" w:themeTint="99"/>
        <w:left w:val="single" w:sz="4" w:space="0" w:color="5182E3" w:themeColor="accent5" w:themeTint="99"/>
        <w:bottom w:val="single" w:sz="4" w:space="0" w:color="5182E3" w:themeColor="accent5" w:themeTint="99"/>
        <w:right w:val="single" w:sz="4" w:space="0" w:color="5182E3" w:themeColor="accent5" w:themeTint="99"/>
        <w:insideH w:val="single" w:sz="4" w:space="0" w:color="5182E3" w:themeColor="accent5" w:themeTint="99"/>
        <w:insideV w:val="single" w:sz="4" w:space="0" w:color="5182E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D5F6" w:themeFill="accent5" w:themeFillTint="33"/>
      </w:tcPr>
    </w:tblStylePr>
    <w:tblStylePr w:type="band1Horz">
      <w:tblPr/>
      <w:tcPr>
        <w:shd w:val="clear" w:color="auto" w:fill="C5D5F6" w:themeFill="accent5" w:themeFillTint="33"/>
      </w:tcPr>
    </w:tblStylePr>
    <w:tblStylePr w:type="neCell">
      <w:tblPr/>
      <w:tcPr>
        <w:tcBorders>
          <w:bottom w:val="single" w:sz="4" w:space="0" w:color="5182E3" w:themeColor="accent5" w:themeTint="99"/>
        </w:tcBorders>
      </w:tcPr>
    </w:tblStylePr>
    <w:tblStylePr w:type="nwCell">
      <w:tblPr/>
      <w:tcPr>
        <w:tcBorders>
          <w:bottom w:val="single" w:sz="4" w:space="0" w:color="5182E3" w:themeColor="accent5" w:themeTint="99"/>
        </w:tcBorders>
      </w:tcPr>
    </w:tblStylePr>
    <w:tblStylePr w:type="seCell">
      <w:tblPr/>
      <w:tcPr>
        <w:tcBorders>
          <w:top w:val="single" w:sz="4" w:space="0" w:color="5182E3" w:themeColor="accent5" w:themeTint="99"/>
        </w:tcBorders>
      </w:tcPr>
    </w:tblStylePr>
    <w:tblStylePr w:type="swCell">
      <w:tblPr/>
      <w:tcPr>
        <w:tcBorders>
          <w:top w:val="single" w:sz="4" w:space="0" w:color="5182E3" w:themeColor="accent5" w:themeTint="99"/>
        </w:tcBorders>
      </w:tcPr>
    </w:tblStylePr>
  </w:style>
  <w:style w:type="table" w:styleId="GridTable7Colorful-Accent6">
    <w:name w:val="Grid Table 7 Colorful Accent 6"/>
    <w:basedOn w:val="TableNormal"/>
    <w:uiPriority w:val="52"/>
    <w:semiHidden/>
    <w:rsid w:val="007755BA"/>
    <w:pPr>
      <w:spacing w:line="240" w:lineRule="auto"/>
    </w:pPr>
    <w:rPr>
      <w:color w:val="008381" w:themeColor="accent6" w:themeShade="BF"/>
    </w:rPr>
    <w:tblPr>
      <w:tblStyleRowBandSize w:val="1"/>
      <w:tblStyleColBandSize w:val="1"/>
      <w:tblBorders>
        <w:top w:val="single" w:sz="4" w:space="0" w:color="36FFFD" w:themeColor="accent6" w:themeTint="99"/>
        <w:left w:val="single" w:sz="4" w:space="0" w:color="36FFFD" w:themeColor="accent6" w:themeTint="99"/>
        <w:bottom w:val="single" w:sz="4" w:space="0" w:color="36FFFD" w:themeColor="accent6" w:themeTint="99"/>
        <w:right w:val="single" w:sz="4" w:space="0" w:color="36FFFD" w:themeColor="accent6" w:themeTint="99"/>
        <w:insideH w:val="single" w:sz="4" w:space="0" w:color="36FFFD" w:themeColor="accent6" w:themeTint="99"/>
        <w:insideV w:val="single" w:sz="4" w:space="0" w:color="36FFF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E" w:themeFill="accent6" w:themeFillTint="33"/>
      </w:tcPr>
    </w:tblStylePr>
    <w:tblStylePr w:type="band1Horz">
      <w:tblPr/>
      <w:tcPr>
        <w:shd w:val="clear" w:color="auto" w:fill="BCFFFE" w:themeFill="accent6" w:themeFillTint="33"/>
      </w:tcPr>
    </w:tblStylePr>
    <w:tblStylePr w:type="neCell">
      <w:tblPr/>
      <w:tcPr>
        <w:tcBorders>
          <w:bottom w:val="single" w:sz="4" w:space="0" w:color="36FFFD" w:themeColor="accent6" w:themeTint="99"/>
        </w:tcBorders>
      </w:tcPr>
    </w:tblStylePr>
    <w:tblStylePr w:type="nwCell">
      <w:tblPr/>
      <w:tcPr>
        <w:tcBorders>
          <w:bottom w:val="single" w:sz="4" w:space="0" w:color="36FFFD" w:themeColor="accent6" w:themeTint="99"/>
        </w:tcBorders>
      </w:tcPr>
    </w:tblStylePr>
    <w:tblStylePr w:type="seCell">
      <w:tblPr/>
      <w:tcPr>
        <w:tcBorders>
          <w:top w:val="single" w:sz="4" w:space="0" w:color="36FFFD" w:themeColor="accent6" w:themeTint="99"/>
        </w:tcBorders>
      </w:tcPr>
    </w:tblStylePr>
    <w:tblStylePr w:type="swCell">
      <w:tblPr/>
      <w:tcPr>
        <w:tcBorders>
          <w:top w:val="single" w:sz="4" w:space="0" w:color="36FFFD" w:themeColor="accent6" w:themeTint="99"/>
        </w:tcBorders>
      </w:tcPr>
    </w:tblStylePr>
  </w:style>
  <w:style w:type="table" w:styleId="LightGrid">
    <w:name w:val="Light Grid"/>
    <w:basedOn w:val="TableNormal"/>
    <w:uiPriority w:val="62"/>
    <w:semiHidden/>
    <w:rsid w:val="007755BA"/>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755BA"/>
    <w:pPr>
      <w:spacing w:line="240" w:lineRule="auto"/>
    </w:pPr>
    <w:tblPr>
      <w:tblStyleRowBandSize w:val="1"/>
      <w:tblStyleColBandSize w:val="1"/>
      <w:tblBorders>
        <w:top w:val="single" w:sz="8" w:space="0" w:color="00B4EE" w:themeColor="accent1"/>
        <w:left w:val="single" w:sz="8" w:space="0" w:color="00B4EE" w:themeColor="accent1"/>
        <w:bottom w:val="single" w:sz="8" w:space="0" w:color="00B4EE" w:themeColor="accent1"/>
        <w:right w:val="single" w:sz="8" w:space="0" w:color="00B4EE" w:themeColor="accent1"/>
        <w:insideH w:val="single" w:sz="8" w:space="0" w:color="00B4EE" w:themeColor="accent1"/>
        <w:insideV w:val="single" w:sz="8" w:space="0" w:color="00B4E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4EE" w:themeColor="accent1"/>
          <w:left w:val="single" w:sz="8" w:space="0" w:color="00B4EE" w:themeColor="accent1"/>
          <w:bottom w:val="single" w:sz="18" w:space="0" w:color="00B4EE" w:themeColor="accent1"/>
          <w:right w:val="single" w:sz="8" w:space="0" w:color="00B4EE" w:themeColor="accent1"/>
          <w:insideH w:val="nil"/>
          <w:insideV w:val="single" w:sz="8" w:space="0" w:color="00B4E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4EE" w:themeColor="accent1"/>
          <w:left w:val="single" w:sz="8" w:space="0" w:color="00B4EE" w:themeColor="accent1"/>
          <w:bottom w:val="single" w:sz="8" w:space="0" w:color="00B4EE" w:themeColor="accent1"/>
          <w:right w:val="single" w:sz="8" w:space="0" w:color="00B4EE" w:themeColor="accent1"/>
          <w:insideH w:val="nil"/>
          <w:insideV w:val="single" w:sz="8" w:space="0" w:color="00B4E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4EE" w:themeColor="accent1"/>
          <w:left w:val="single" w:sz="8" w:space="0" w:color="00B4EE" w:themeColor="accent1"/>
          <w:bottom w:val="single" w:sz="8" w:space="0" w:color="00B4EE" w:themeColor="accent1"/>
          <w:right w:val="single" w:sz="8" w:space="0" w:color="00B4EE" w:themeColor="accent1"/>
        </w:tcBorders>
      </w:tcPr>
    </w:tblStylePr>
    <w:tblStylePr w:type="band1Vert">
      <w:tblPr/>
      <w:tcPr>
        <w:tcBorders>
          <w:top w:val="single" w:sz="8" w:space="0" w:color="00B4EE" w:themeColor="accent1"/>
          <w:left w:val="single" w:sz="8" w:space="0" w:color="00B4EE" w:themeColor="accent1"/>
          <w:bottom w:val="single" w:sz="8" w:space="0" w:color="00B4EE" w:themeColor="accent1"/>
          <w:right w:val="single" w:sz="8" w:space="0" w:color="00B4EE" w:themeColor="accent1"/>
        </w:tcBorders>
        <w:shd w:val="clear" w:color="auto" w:fill="BBEEFF" w:themeFill="accent1" w:themeFillTint="3F"/>
      </w:tcPr>
    </w:tblStylePr>
    <w:tblStylePr w:type="band1Horz">
      <w:tblPr/>
      <w:tcPr>
        <w:tcBorders>
          <w:top w:val="single" w:sz="8" w:space="0" w:color="00B4EE" w:themeColor="accent1"/>
          <w:left w:val="single" w:sz="8" w:space="0" w:color="00B4EE" w:themeColor="accent1"/>
          <w:bottom w:val="single" w:sz="8" w:space="0" w:color="00B4EE" w:themeColor="accent1"/>
          <w:right w:val="single" w:sz="8" w:space="0" w:color="00B4EE" w:themeColor="accent1"/>
          <w:insideV w:val="single" w:sz="8" w:space="0" w:color="00B4EE" w:themeColor="accent1"/>
        </w:tcBorders>
        <w:shd w:val="clear" w:color="auto" w:fill="BBEEFF" w:themeFill="accent1" w:themeFillTint="3F"/>
      </w:tcPr>
    </w:tblStylePr>
    <w:tblStylePr w:type="band2Horz">
      <w:tblPr/>
      <w:tcPr>
        <w:tcBorders>
          <w:top w:val="single" w:sz="8" w:space="0" w:color="00B4EE" w:themeColor="accent1"/>
          <w:left w:val="single" w:sz="8" w:space="0" w:color="00B4EE" w:themeColor="accent1"/>
          <w:bottom w:val="single" w:sz="8" w:space="0" w:color="00B4EE" w:themeColor="accent1"/>
          <w:right w:val="single" w:sz="8" w:space="0" w:color="00B4EE" w:themeColor="accent1"/>
          <w:insideV w:val="single" w:sz="8" w:space="0" w:color="00B4EE" w:themeColor="accent1"/>
        </w:tcBorders>
      </w:tcPr>
    </w:tblStylePr>
  </w:style>
  <w:style w:type="table" w:styleId="LightGrid-Accent2">
    <w:name w:val="Light Grid Accent 2"/>
    <w:basedOn w:val="TableNormal"/>
    <w:uiPriority w:val="62"/>
    <w:semiHidden/>
    <w:rsid w:val="007755BA"/>
    <w:pPr>
      <w:spacing w:line="240" w:lineRule="auto"/>
    </w:pPr>
    <w:tblPr>
      <w:tblStyleRowBandSize w:val="1"/>
      <w:tblStyleColBandSize w:val="1"/>
      <w:tblBorders>
        <w:top w:val="single" w:sz="8" w:space="0" w:color="006CCD" w:themeColor="accent2"/>
        <w:left w:val="single" w:sz="8" w:space="0" w:color="006CCD" w:themeColor="accent2"/>
        <w:bottom w:val="single" w:sz="8" w:space="0" w:color="006CCD" w:themeColor="accent2"/>
        <w:right w:val="single" w:sz="8" w:space="0" w:color="006CCD" w:themeColor="accent2"/>
        <w:insideH w:val="single" w:sz="8" w:space="0" w:color="006CCD" w:themeColor="accent2"/>
        <w:insideV w:val="single" w:sz="8" w:space="0" w:color="006CC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CCD" w:themeColor="accent2"/>
          <w:left w:val="single" w:sz="8" w:space="0" w:color="006CCD" w:themeColor="accent2"/>
          <w:bottom w:val="single" w:sz="18" w:space="0" w:color="006CCD" w:themeColor="accent2"/>
          <w:right w:val="single" w:sz="8" w:space="0" w:color="006CCD" w:themeColor="accent2"/>
          <w:insideH w:val="nil"/>
          <w:insideV w:val="single" w:sz="8" w:space="0" w:color="006CC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CCD" w:themeColor="accent2"/>
          <w:left w:val="single" w:sz="8" w:space="0" w:color="006CCD" w:themeColor="accent2"/>
          <w:bottom w:val="single" w:sz="8" w:space="0" w:color="006CCD" w:themeColor="accent2"/>
          <w:right w:val="single" w:sz="8" w:space="0" w:color="006CCD" w:themeColor="accent2"/>
          <w:insideH w:val="nil"/>
          <w:insideV w:val="single" w:sz="8" w:space="0" w:color="006CC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CCD" w:themeColor="accent2"/>
          <w:left w:val="single" w:sz="8" w:space="0" w:color="006CCD" w:themeColor="accent2"/>
          <w:bottom w:val="single" w:sz="8" w:space="0" w:color="006CCD" w:themeColor="accent2"/>
          <w:right w:val="single" w:sz="8" w:space="0" w:color="006CCD" w:themeColor="accent2"/>
        </w:tcBorders>
      </w:tcPr>
    </w:tblStylePr>
    <w:tblStylePr w:type="band1Vert">
      <w:tblPr/>
      <w:tcPr>
        <w:tcBorders>
          <w:top w:val="single" w:sz="8" w:space="0" w:color="006CCD" w:themeColor="accent2"/>
          <w:left w:val="single" w:sz="8" w:space="0" w:color="006CCD" w:themeColor="accent2"/>
          <w:bottom w:val="single" w:sz="8" w:space="0" w:color="006CCD" w:themeColor="accent2"/>
          <w:right w:val="single" w:sz="8" w:space="0" w:color="006CCD" w:themeColor="accent2"/>
        </w:tcBorders>
        <w:shd w:val="clear" w:color="auto" w:fill="B3DBFF" w:themeFill="accent2" w:themeFillTint="3F"/>
      </w:tcPr>
    </w:tblStylePr>
    <w:tblStylePr w:type="band1Horz">
      <w:tblPr/>
      <w:tcPr>
        <w:tcBorders>
          <w:top w:val="single" w:sz="8" w:space="0" w:color="006CCD" w:themeColor="accent2"/>
          <w:left w:val="single" w:sz="8" w:space="0" w:color="006CCD" w:themeColor="accent2"/>
          <w:bottom w:val="single" w:sz="8" w:space="0" w:color="006CCD" w:themeColor="accent2"/>
          <w:right w:val="single" w:sz="8" w:space="0" w:color="006CCD" w:themeColor="accent2"/>
          <w:insideV w:val="single" w:sz="8" w:space="0" w:color="006CCD" w:themeColor="accent2"/>
        </w:tcBorders>
        <w:shd w:val="clear" w:color="auto" w:fill="B3DBFF" w:themeFill="accent2" w:themeFillTint="3F"/>
      </w:tcPr>
    </w:tblStylePr>
    <w:tblStylePr w:type="band2Horz">
      <w:tblPr/>
      <w:tcPr>
        <w:tcBorders>
          <w:top w:val="single" w:sz="8" w:space="0" w:color="006CCD" w:themeColor="accent2"/>
          <w:left w:val="single" w:sz="8" w:space="0" w:color="006CCD" w:themeColor="accent2"/>
          <w:bottom w:val="single" w:sz="8" w:space="0" w:color="006CCD" w:themeColor="accent2"/>
          <w:right w:val="single" w:sz="8" w:space="0" w:color="006CCD" w:themeColor="accent2"/>
          <w:insideV w:val="single" w:sz="8" w:space="0" w:color="006CCD" w:themeColor="accent2"/>
        </w:tcBorders>
      </w:tcPr>
    </w:tblStylePr>
  </w:style>
  <w:style w:type="table" w:styleId="LightGrid-Accent3">
    <w:name w:val="Light Grid Accent 3"/>
    <w:basedOn w:val="TableNormal"/>
    <w:uiPriority w:val="62"/>
    <w:semiHidden/>
    <w:rsid w:val="007755BA"/>
    <w:pPr>
      <w:spacing w:line="240" w:lineRule="auto"/>
    </w:pPr>
    <w:tblPr>
      <w:tblStyleRowBandSize w:val="1"/>
      <w:tblStyleColBandSize w:val="1"/>
      <w:tblBorders>
        <w:top w:val="single" w:sz="8" w:space="0" w:color="7ED2FF" w:themeColor="accent3"/>
        <w:left w:val="single" w:sz="8" w:space="0" w:color="7ED2FF" w:themeColor="accent3"/>
        <w:bottom w:val="single" w:sz="8" w:space="0" w:color="7ED2FF" w:themeColor="accent3"/>
        <w:right w:val="single" w:sz="8" w:space="0" w:color="7ED2FF" w:themeColor="accent3"/>
        <w:insideH w:val="single" w:sz="8" w:space="0" w:color="7ED2FF" w:themeColor="accent3"/>
        <w:insideV w:val="single" w:sz="8" w:space="0" w:color="7ED2F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ED2FF" w:themeColor="accent3"/>
          <w:left w:val="single" w:sz="8" w:space="0" w:color="7ED2FF" w:themeColor="accent3"/>
          <w:bottom w:val="single" w:sz="18" w:space="0" w:color="7ED2FF" w:themeColor="accent3"/>
          <w:right w:val="single" w:sz="8" w:space="0" w:color="7ED2FF" w:themeColor="accent3"/>
          <w:insideH w:val="nil"/>
          <w:insideV w:val="single" w:sz="8" w:space="0" w:color="7ED2F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D2FF" w:themeColor="accent3"/>
          <w:left w:val="single" w:sz="8" w:space="0" w:color="7ED2FF" w:themeColor="accent3"/>
          <w:bottom w:val="single" w:sz="8" w:space="0" w:color="7ED2FF" w:themeColor="accent3"/>
          <w:right w:val="single" w:sz="8" w:space="0" w:color="7ED2FF" w:themeColor="accent3"/>
          <w:insideH w:val="nil"/>
          <w:insideV w:val="single" w:sz="8" w:space="0" w:color="7ED2F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D2FF" w:themeColor="accent3"/>
          <w:left w:val="single" w:sz="8" w:space="0" w:color="7ED2FF" w:themeColor="accent3"/>
          <w:bottom w:val="single" w:sz="8" w:space="0" w:color="7ED2FF" w:themeColor="accent3"/>
          <w:right w:val="single" w:sz="8" w:space="0" w:color="7ED2FF" w:themeColor="accent3"/>
        </w:tcBorders>
      </w:tcPr>
    </w:tblStylePr>
    <w:tblStylePr w:type="band1Vert">
      <w:tblPr/>
      <w:tcPr>
        <w:tcBorders>
          <w:top w:val="single" w:sz="8" w:space="0" w:color="7ED2FF" w:themeColor="accent3"/>
          <w:left w:val="single" w:sz="8" w:space="0" w:color="7ED2FF" w:themeColor="accent3"/>
          <w:bottom w:val="single" w:sz="8" w:space="0" w:color="7ED2FF" w:themeColor="accent3"/>
          <w:right w:val="single" w:sz="8" w:space="0" w:color="7ED2FF" w:themeColor="accent3"/>
        </w:tcBorders>
        <w:shd w:val="clear" w:color="auto" w:fill="DFF3FF" w:themeFill="accent3" w:themeFillTint="3F"/>
      </w:tcPr>
    </w:tblStylePr>
    <w:tblStylePr w:type="band1Horz">
      <w:tblPr/>
      <w:tcPr>
        <w:tcBorders>
          <w:top w:val="single" w:sz="8" w:space="0" w:color="7ED2FF" w:themeColor="accent3"/>
          <w:left w:val="single" w:sz="8" w:space="0" w:color="7ED2FF" w:themeColor="accent3"/>
          <w:bottom w:val="single" w:sz="8" w:space="0" w:color="7ED2FF" w:themeColor="accent3"/>
          <w:right w:val="single" w:sz="8" w:space="0" w:color="7ED2FF" w:themeColor="accent3"/>
          <w:insideV w:val="single" w:sz="8" w:space="0" w:color="7ED2FF" w:themeColor="accent3"/>
        </w:tcBorders>
        <w:shd w:val="clear" w:color="auto" w:fill="DFF3FF" w:themeFill="accent3" w:themeFillTint="3F"/>
      </w:tcPr>
    </w:tblStylePr>
    <w:tblStylePr w:type="band2Horz">
      <w:tblPr/>
      <w:tcPr>
        <w:tcBorders>
          <w:top w:val="single" w:sz="8" w:space="0" w:color="7ED2FF" w:themeColor="accent3"/>
          <w:left w:val="single" w:sz="8" w:space="0" w:color="7ED2FF" w:themeColor="accent3"/>
          <w:bottom w:val="single" w:sz="8" w:space="0" w:color="7ED2FF" w:themeColor="accent3"/>
          <w:right w:val="single" w:sz="8" w:space="0" w:color="7ED2FF" w:themeColor="accent3"/>
          <w:insideV w:val="single" w:sz="8" w:space="0" w:color="7ED2FF" w:themeColor="accent3"/>
        </w:tcBorders>
      </w:tcPr>
    </w:tblStylePr>
  </w:style>
  <w:style w:type="table" w:styleId="LightGrid-Accent4">
    <w:name w:val="Light Grid Accent 4"/>
    <w:basedOn w:val="TableNormal"/>
    <w:uiPriority w:val="62"/>
    <w:semiHidden/>
    <w:rsid w:val="007755BA"/>
    <w:pPr>
      <w:spacing w:line="240" w:lineRule="auto"/>
    </w:pPr>
    <w:tblPr>
      <w:tblStyleRowBandSize w:val="1"/>
      <w:tblStyleColBandSize w:val="1"/>
      <w:tblBorders>
        <w:top w:val="single" w:sz="8" w:space="0" w:color="0093EA" w:themeColor="accent4"/>
        <w:left w:val="single" w:sz="8" w:space="0" w:color="0093EA" w:themeColor="accent4"/>
        <w:bottom w:val="single" w:sz="8" w:space="0" w:color="0093EA" w:themeColor="accent4"/>
        <w:right w:val="single" w:sz="8" w:space="0" w:color="0093EA" w:themeColor="accent4"/>
        <w:insideH w:val="single" w:sz="8" w:space="0" w:color="0093EA" w:themeColor="accent4"/>
        <w:insideV w:val="single" w:sz="8" w:space="0" w:color="0093EA"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3EA" w:themeColor="accent4"/>
          <w:left w:val="single" w:sz="8" w:space="0" w:color="0093EA" w:themeColor="accent4"/>
          <w:bottom w:val="single" w:sz="18" w:space="0" w:color="0093EA" w:themeColor="accent4"/>
          <w:right w:val="single" w:sz="8" w:space="0" w:color="0093EA" w:themeColor="accent4"/>
          <w:insideH w:val="nil"/>
          <w:insideV w:val="single" w:sz="8" w:space="0" w:color="0093EA"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3EA" w:themeColor="accent4"/>
          <w:left w:val="single" w:sz="8" w:space="0" w:color="0093EA" w:themeColor="accent4"/>
          <w:bottom w:val="single" w:sz="8" w:space="0" w:color="0093EA" w:themeColor="accent4"/>
          <w:right w:val="single" w:sz="8" w:space="0" w:color="0093EA" w:themeColor="accent4"/>
          <w:insideH w:val="nil"/>
          <w:insideV w:val="single" w:sz="8" w:space="0" w:color="0093EA"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3EA" w:themeColor="accent4"/>
          <w:left w:val="single" w:sz="8" w:space="0" w:color="0093EA" w:themeColor="accent4"/>
          <w:bottom w:val="single" w:sz="8" w:space="0" w:color="0093EA" w:themeColor="accent4"/>
          <w:right w:val="single" w:sz="8" w:space="0" w:color="0093EA" w:themeColor="accent4"/>
        </w:tcBorders>
      </w:tcPr>
    </w:tblStylePr>
    <w:tblStylePr w:type="band1Vert">
      <w:tblPr/>
      <w:tcPr>
        <w:tcBorders>
          <w:top w:val="single" w:sz="8" w:space="0" w:color="0093EA" w:themeColor="accent4"/>
          <w:left w:val="single" w:sz="8" w:space="0" w:color="0093EA" w:themeColor="accent4"/>
          <w:bottom w:val="single" w:sz="8" w:space="0" w:color="0093EA" w:themeColor="accent4"/>
          <w:right w:val="single" w:sz="8" w:space="0" w:color="0093EA" w:themeColor="accent4"/>
        </w:tcBorders>
        <w:shd w:val="clear" w:color="auto" w:fill="BAE5FF" w:themeFill="accent4" w:themeFillTint="3F"/>
      </w:tcPr>
    </w:tblStylePr>
    <w:tblStylePr w:type="band1Horz">
      <w:tblPr/>
      <w:tcPr>
        <w:tcBorders>
          <w:top w:val="single" w:sz="8" w:space="0" w:color="0093EA" w:themeColor="accent4"/>
          <w:left w:val="single" w:sz="8" w:space="0" w:color="0093EA" w:themeColor="accent4"/>
          <w:bottom w:val="single" w:sz="8" w:space="0" w:color="0093EA" w:themeColor="accent4"/>
          <w:right w:val="single" w:sz="8" w:space="0" w:color="0093EA" w:themeColor="accent4"/>
          <w:insideV w:val="single" w:sz="8" w:space="0" w:color="0093EA" w:themeColor="accent4"/>
        </w:tcBorders>
        <w:shd w:val="clear" w:color="auto" w:fill="BAE5FF" w:themeFill="accent4" w:themeFillTint="3F"/>
      </w:tcPr>
    </w:tblStylePr>
    <w:tblStylePr w:type="band2Horz">
      <w:tblPr/>
      <w:tcPr>
        <w:tcBorders>
          <w:top w:val="single" w:sz="8" w:space="0" w:color="0093EA" w:themeColor="accent4"/>
          <w:left w:val="single" w:sz="8" w:space="0" w:color="0093EA" w:themeColor="accent4"/>
          <w:bottom w:val="single" w:sz="8" w:space="0" w:color="0093EA" w:themeColor="accent4"/>
          <w:right w:val="single" w:sz="8" w:space="0" w:color="0093EA" w:themeColor="accent4"/>
          <w:insideV w:val="single" w:sz="8" w:space="0" w:color="0093EA" w:themeColor="accent4"/>
        </w:tcBorders>
      </w:tcPr>
    </w:tblStylePr>
  </w:style>
  <w:style w:type="table" w:styleId="LightGrid-Accent5">
    <w:name w:val="Light Grid Accent 5"/>
    <w:basedOn w:val="TableNormal"/>
    <w:uiPriority w:val="62"/>
    <w:semiHidden/>
    <w:rsid w:val="007755BA"/>
    <w:pPr>
      <w:spacing w:line="240" w:lineRule="auto"/>
    </w:pPr>
    <w:tblPr>
      <w:tblStyleRowBandSize w:val="1"/>
      <w:tblStyleColBandSize w:val="1"/>
      <w:tblBorders>
        <w:top w:val="single" w:sz="8" w:space="0" w:color="184398" w:themeColor="accent5"/>
        <w:left w:val="single" w:sz="8" w:space="0" w:color="184398" w:themeColor="accent5"/>
        <w:bottom w:val="single" w:sz="8" w:space="0" w:color="184398" w:themeColor="accent5"/>
        <w:right w:val="single" w:sz="8" w:space="0" w:color="184398" w:themeColor="accent5"/>
        <w:insideH w:val="single" w:sz="8" w:space="0" w:color="184398" w:themeColor="accent5"/>
        <w:insideV w:val="single" w:sz="8" w:space="0" w:color="18439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84398" w:themeColor="accent5"/>
          <w:left w:val="single" w:sz="8" w:space="0" w:color="184398" w:themeColor="accent5"/>
          <w:bottom w:val="single" w:sz="18" w:space="0" w:color="184398" w:themeColor="accent5"/>
          <w:right w:val="single" w:sz="8" w:space="0" w:color="184398" w:themeColor="accent5"/>
          <w:insideH w:val="nil"/>
          <w:insideV w:val="single" w:sz="8" w:space="0" w:color="18439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84398" w:themeColor="accent5"/>
          <w:left w:val="single" w:sz="8" w:space="0" w:color="184398" w:themeColor="accent5"/>
          <w:bottom w:val="single" w:sz="8" w:space="0" w:color="184398" w:themeColor="accent5"/>
          <w:right w:val="single" w:sz="8" w:space="0" w:color="184398" w:themeColor="accent5"/>
          <w:insideH w:val="nil"/>
          <w:insideV w:val="single" w:sz="8" w:space="0" w:color="18439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84398" w:themeColor="accent5"/>
          <w:left w:val="single" w:sz="8" w:space="0" w:color="184398" w:themeColor="accent5"/>
          <w:bottom w:val="single" w:sz="8" w:space="0" w:color="184398" w:themeColor="accent5"/>
          <w:right w:val="single" w:sz="8" w:space="0" w:color="184398" w:themeColor="accent5"/>
        </w:tcBorders>
      </w:tcPr>
    </w:tblStylePr>
    <w:tblStylePr w:type="band1Vert">
      <w:tblPr/>
      <w:tcPr>
        <w:tcBorders>
          <w:top w:val="single" w:sz="8" w:space="0" w:color="184398" w:themeColor="accent5"/>
          <w:left w:val="single" w:sz="8" w:space="0" w:color="184398" w:themeColor="accent5"/>
          <w:bottom w:val="single" w:sz="8" w:space="0" w:color="184398" w:themeColor="accent5"/>
          <w:right w:val="single" w:sz="8" w:space="0" w:color="184398" w:themeColor="accent5"/>
        </w:tcBorders>
        <w:shd w:val="clear" w:color="auto" w:fill="B7CBF3" w:themeFill="accent5" w:themeFillTint="3F"/>
      </w:tcPr>
    </w:tblStylePr>
    <w:tblStylePr w:type="band1Horz">
      <w:tblPr/>
      <w:tcPr>
        <w:tcBorders>
          <w:top w:val="single" w:sz="8" w:space="0" w:color="184398" w:themeColor="accent5"/>
          <w:left w:val="single" w:sz="8" w:space="0" w:color="184398" w:themeColor="accent5"/>
          <w:bottom w:val="single" w:sz="8" w:space="0" w:color="184398" w:themeColor="accent5"/>
          <w:right w:val="single" w:sz="8" w:space="0" w:color="184398" w:themeColor="accent5"/>
          <w:insideV w:val="single" w:sz="8" w:space="0" w:color="184398" w:themeColor="accent5"/>
        </w:tcBorders>
        <w:shd w:val="clear" w:color="auto" w:fill="B7CBF3" w:themeFill="accent5" w:themeFillTint="3F"/>
      </w:tcPr>
    </w:tblStylePr>
    <w:tblStylePr w:type="band2Horz">
      <w:tblPr/>
      <w:tcPr>
        <w:tcBorders>
          <w:top w:val="single" w:sz="8" w:space="0" w:color="184398" w:themeColor="accent5"/>
          <w:left w:val="single" w:sz="8" w:space="0" w:color="184398" w:themeColor="accent5"/>
          <w:bottom w:val="single" w:sz="8" w:space="0" w:color="184398" w:themeColor="accent5"/>
          <w:right w:val="single" w:sz="8" w:space="0" w:color="184398" w:themeColor="accent5"/>
          <w:insideV w:val="single" w:sz="8" w:space="0" w:color="184398" w:themeColor="accent5"/>
        </w:tcBorders>
      </w:tcPr>
    </w:tblStylePr>
  </w:style>
  <w:style w:type="table" w:styleId="LightGrid-Accent6">
    <w:name w:val="Light Grid Accent 6"/>
    <w:basedOn w:val="TableNormal"/>
    <w:uiPriority w:val="62"/>
    <w:semiHidden/>
    <w:rsid w:val="007755BA"/>
    <w:pPr>
      <w:spacing w:line="240" w:lineRule="auto"/>
    </w:pPr>
    <w:tblPr>
      <w:tblStyleRowBandSize w:val="1"/>
      <w:tblStyleColBandSize w:val="1"/>
      <w:tblBorders>
        <w:top w:val="single" w:sz="8" w:space="0" w:color="00AFAE" w:themeColor="accent6"/>
        <w:left w:val="single" w:sz="8" w:space="0" w:color="00AFAE" w:themeColor="accent6"/>
        <w:bottom w:val="single" w:sz="8" w:space="0" w:color="00AFAE" w:themeColor="accent6"/>
        <w:right w:val="single" w:sz="8" w:space="0" w:color="00AFAE" w:themeColor="accent6"/>
        <w:insideH w:val="single" w:sz="8" w:space="0" w:color="00AFAE" w:themeColor="accent6"/>
        <w:insideV w:val="single" w:sz="8" w:space="0" w:color="00AFA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FAE" w:themeColor="accent6"/>
          <w:left w:val="single" w:sz="8" w:space="0" w:color="00AFAE" w:themeColor="accent6"/>
          <w:bottom w:val="single" w:sz="18" w:space="0" w:color="00AFAE" w:themeColor="accent6"/>
          <w:right w:val="single" w:sz="8" w:space="0" w:color="00AFAE" w:themeColor="accent6"/>
          <w:insideH w:val="nil"/>
          <w:insideV w:val="single" w:sz="8" w:space="0" w:color="00AFA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FAE" w:themeColor="accent6"/>
          <w:left w:val="single" w:sz="8" w:space="0" w:color="00AFAE" w:themeColor="accent6"/>
          <w:bottom w:val="single" w:sz="8" w:space="0" w:color="00AFAE" w:themeColor="accent6"/>
          <w:right w:val="single" w:sz="8" w:space="0" w:color="00AFAE" w:themeColor="accent6"/>
          <w:insideH w:val="nil"/>
          <w:insideV w:val="single" w:sz="8" w:space="0" w:color="00AFA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FAE" w:themeColor="accent6"/>
          <w:left w:val="single" w:sz="8" w:space="0" w:color="00AFAE" w:themeColor="accent6"/>
          <w:bottom w:val="single" w:sz="8" w:space="0" w:color="00AFAE" w:themeColor="accent6"/>
          <w:right w:val="single" w:sz="8" w:space="0" w:color="00AFAE" w:themeColor="accent6"/>
        </w:tcBorders>
      </w:tcPr>
    </w:tblStylePr>
    <w:tblStylePr w:type="band1Vert">
      <w:tblPr/>
      <w:tcPr>
        <w:tcBorders>
          <w:top w:val="single" w:sz="8" w:space="0" w:color="00AFAE" w:themeColor="accent6"/>
          <w:left w:val="single" w:sz="8" w:space="0" w:color="00AFAE" w:themeColor="accent6"/>
          <w:bottom w:val="single" w:sz="8" w:space="0" w:color="00AFAE" w:themeColor="accent6"/>
          <w:right w:val="single" w:sz="8" w:space="0" w:color="00AFAE" w:themeColor="accent6"/>
        </w:tcBorders>
        <w:shd w:val="clear" w:color="auto" w:fill="ACFFFE" w:themeFill="accent6" w:themeFillTint="3F"/>
      </w:tcPr>
    </w:tblStylePr>
    <w:tblStylePr w:type="band1Horz">
      <w:tblPr/>
      <w:tcPr>
        <w:tcBorders>
          <w:top w:val="single" w:sz="8" w:space="0" w:color="00AFAE" w:themeColor="accent6"/>
          <w:left w:val="single" w:sz="8" w:space="0" w:color="00AFAE" w:themeColor="accent6"/>
          <w:bottom w:val="single" w:sz="8" w:space="0" w:color="00AFAE" w:themeColor="accent6"/>
          <w:right w:val="single" w:sz="8" w:space="0" w:color="00AFAE" w:themeColor="accent6"/>
          <w:insideV w:val="single" w:sz="8" w:space="0" w:color="00AFAE" w:themeColor="accent6"/>
        </w:tcBorders>
        <w:shd w:val="clear" w:color="auto" w:fill="ACFFFE" w:themeFill="accent6" w:themeFillTint="3F"/>
      </w:tcPr>
    </w:tblStylePr>
    <w:tblStylePr w:type="band2Horz">
      <w:tblPr/>
      <w:tcPr>
        <w:tcBorders>
          <w:top w:val="single" w:sz="8" w:space="0" w:color="00AFAE" w:themeColor="accent6"/>
          <w:left w:val="single" w:sz="8" w:space="0" w:color="00AFAE" w:themeColor="accent6"/>
          <w:bottom w:val="single" w:sz="8" w:space="0" w:color="00AFAE" w:themeColor="accent6"/>
          <w:right w:val="single" w:sz="8" w:space="0" w:color="00AFAE" w:themeColor="accent6"/>
          <w:insideV w:val="single" w:sz="8" w:space="0" w:color="00AFAE" w:themeColor="accent6"/>
        </w:tcBorders>
      </w:tcPr>
    </w:tblStylePr>
  </w:style>
  <w:style w:type="table" w:styleId="LightList">
    <w:name w:val="Light List"/>
    <w:basedOn w:val="TableNormal"/>
    <w:uiPriority w:val="61"/>
    <w:semiHidden/>
    <w:rsid w:val="007755BA"/>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755BA"/>
    <w:pPr>
      <w:spacing w:line="240" w:lineRule="auto"/>
    </w:pPr>
    <w:tblPr>
      <w:tblStyleRowBandSize w:val="1"/>
      <w:tblStyleColBandSize w:val="1"/>
      <w:tblBorders>
        <w:top w:val="single" w:sz="8" w:space="0" w:color="00B4EE" w:themeColor="accent1"/>
        <w:left w:val="single" w:sz="8" w:space="0" w:color="00B4EE" w:themeColor="accent1"/>
        <w:bottom w:val="single" w:sz="8" w:space="0" w:color="00B4EE" w:themeColor="accent1"/>
        <w:right w:val="single" w:sz="8" w:space="0" w:color="00B4EE" w:themeColor="accent1"/>
      </w:tblBorders>
    </w:tblPr>
    <w:tblStylePr w:type="firstRow">
      <w:pPr>
        <w:spacing w:before="0" w:after="0" w:line="240" w:lineRule="auto"/>
      </w:pPr>
      <w:rPr>
        <w:b/>
        <w:bCs/>
        <w:color w:val="FFFFFF" w:themeColor="background1"/>
      </w:rPr>
      <w:tblPr/>
      <w:tcPr>
        <w:shd w:val="clear" w:color="auto" w:fill="00B4EE" w:themeFill="accent1"/>
      </w:tcPr>
    </w:tblStylePr>
    <w:tblStylePr w:type="lastRow">
      <w:pPr>
        <w:spacing w:before="0" w:after="0" w:line="240" w:lineRule="auto"/>
      </w:pPr>
      <w:rPr>
        <w:b/>
        <w:bCs/>
      </w:rPr>
      <w:tblPr/>
      <w:tcPr>
        <w:tcBorders>
          <w:top w:val="double" w:sz="6" w:space="0" w:color="00B4EE" w:themeColor="accent1"/>
          <w:left w:val="single" w:sz="8" w:space="0" w:color="00B4EE" w:themeColor="accent1"/>
          <w:bottom w:val="single" w:sz="8" w:space="0" w:color="00B4EE" w:themeColor="accent1"/>
          <w:right w:val="single" w:sz="8" w:space="0" w:color="00B4EE" w:themeColor="accent1"/>
        </w:tcBorders>
      </w:tcPr>
    </w:tblStylePr>
    <w:tblStylePr w:type="firstCol">
      <w:rPr>
        <w:b/>
        <w:bCs/>
      </w:rPr>
    </w:tblStylePr>
    <w:tblStylePr w:type="lastCol">
      <w:rPr>
        <w:b/>
        <w:bCs/>
      </w:rPr>
    </w:tblStylePr>
    <w:tblStylePr w:type="band1Vert">
      <w:tblPr/>
      <w:tcPr>
        <w:tcBorders>
          <w:top w:val="single" w:sz="8" w:space="0" w:color="00B4EE" w:themeColor="accent1"/>
          <w:left w:val="single" w:sz="8" w:space="0" w:color="00B4EE" w:themeColor="accent1"/>
          <w:bottom w:val="single" w:sz="8" w:space="0" w:color="00B4EE" w:themeColor="accent1"/>
          <w:right w:val="single" w:sz="8" w:space="0" w:color="00B4EE" w:themeColor="accent1"/>
        </w:tcBorders>
      </w:tcPr>
    </w:tblStylePr>
    <w:tblStylePr w:type="band1Horz">
      <w:tblPr/>
      <w:tcPr>
        <w:tcBorders>
          <w:top w:val="single" w:sz="8" w:space="0" w:color="00B4EE" w:themeColor="accent1"/>
          <w:left w:val="single" w:sz="8" w:space="0" w:color="00B4EE" w:themeColor="accent1"/>
          <w:bottom w:val="single" w:sz="8" w:space="0" w:color="00B4EE" w:themeColor="accent1"/>
          <w:right w:val="single" w:sz="8" w:space="0" w:color="00B4EE" w:themeColor="accent1"/>
        </w:tcBorders>
      </w:tcPr>
    </w:tblStylePr>
  </w:style>
  <w:style w:type="table" w:styleId="LightList-Accent2">
    <w:name w:val="Light List Accent 2"/>
    <w:basedOn w:val="TableNormal"/>
    <w:uiPriority w:val="61"/>
    <w:semiHidden/>
    <w:rsid w:val="007755BA"/>
    <w:pPr>
      <w:spacing w:line="240" w:lineRule="auto"/>
    </w:pPr>
    <w:tblPr>
      <w:tblStyleRowBandSize w:val="1"/>
      <w:tblStyleColBandSize w:val="1"/>
      <w:tblBorders>
        <w:top w:val="single" w:sz="8" w:space="0" w:color="006CCD" w:themeColor="accent2"/>
        <w:left w:val="single" w:sz="8" w:space="0" w:color="006CCD" w:themeColor="accent2"/>
        <w:bottom w:val="single" w:sz="8" w:space="0" w:color="006CCD" w:themeColor="accent2"/>
        <w:right w:val="single" w:sz="8" w:space="0" w:color="006CCD" w:themeColor="accent2"/>
      </w:tblBorders>
    </w:tblPr>
    <w:tblStylePr w:type="firstRow">
      <w:pPr>
        <w:spacing w:before="0" w:after="0" w:line="240" w:lineRule="auto"/>
      </w:pPr>
      <w:rPr>
        <w:b/>
        <w:bCs/>
        <w:color w:val="FFFFFF" w:themeColor="background1"/>
      </w:rPr>
      <w:tblPr/>
      <w:tcPr>
        <w:shd w:val="clear" w:color="auto" w:fill="006CCD" w:themeFill="accent2"/>
      </w:tcPr>
    </w:tblStylePr>
    <w:tblStylePr w:type="lastRow">
      <w:pPr>
        <w:spacing w:before="0" w:after="0" w:line="240" w:lineRule="auto"/>
      </w:pPr>
      <w:rPr>
        <w:b/>
        <w:bCs/>
      </w:rPr>
      <w:tblPr/>
      <w:tcPr>
        <w:tcBorders>
          <w:top w:val="double" w:sz="6" w:space="0" w:color="006CCD" w:themeColor="accent2"/>
          <w:left w:val="single" w:sz="8" w:space="0" w:color="006CCD" w:themeColor="accent2"/>
          <w:bottom w:val="single" w:sz="8" w:space="0" w:color="006CCD" w:themeColor="accent2"/>
          <w:right w:val="single" w:sz="8" w:space="0" w:color="006CCD" w:themeColor="accent2"/>
        </w:tcBorders>
      </w:tcPr>
    </w:tblStylePr>
    <w:tblStylePr w:type="firstCol">
      <w:rPr>
        <w:b/>
        <w:bCs/>
      </w:rPr>
    </w:tblStylePr>
    <w:tblStylePr w:type="lastCol">
      <w:rPr>
        <w:b/>
        <w:bCs/>
      </w:rPr>
    </w:tblStylePr>
    <w:tblStylePr w:type="band1Vert">
      <w:tblPr/>
      <w:tcPr>
        <w:tcBorders>
          <w:top w:val="single" w:sz="8" w:space="0" w:color="006CCD" w:themeColor="accent2"/>
          <w:left w:val="single" w:sz="8" w:space="0" w:color="006CCD" w:themeColor="accent2"/>
          <w:bottom w:val="single" w:sz="8" w:space="0" w:color="006CCD" w:themeColor="accent2"/>
          <w:right w:val="single" w:sz="8" w:space="0" w:color="006CCD" w:themeColor="accent2"/>
        </w:tcBorders>
      </w:tcPr>
    </w:tblStylePr>
    <w:tblStylePr w:type="band1Horz">
      <w:tblPr/>
      <w:tcPr>
        <w:tcBorders>
          <w:top w:val="single" w:sz="8" w:space="0" w:color="006CCD" w:themeColor="accent2"/>
          <w:left w:val="single" w:sz="8" w:space="0" w:color="006CCD" w:themeColor="accent2"/>
          <w:bottom w:val="single" w:sz="8" w:space="0" w:color="006CCD" w:themeColor="accent2"/>
          <w:right w:val="single" w:sz="8" w:space="0" w:color="006CCD" w:themeColor="accent2"/>
        </w:tcBorders>
      </w:tcPr>
    </w:tblStylePr>
  </w:style>
  <w:style w:type="table" w:styleId="LightList-Accent3">
    <w:name w:val="Light List Accent 3"/>
    <w:basedOn w:val="TableNormal"/>
    <w:uiPriority w:val="61"/>
    <w:semiHidden/>
    <w:rsid w:val="007755BA"/>
    <w:pPr>
      <w:spacing w:line="240" w:lineRule="auto"/>
    </w:pPr>
    <w:tblPr>
      <w:tblStyleRowBandSize w:val="1"/>
      <w:tblStyleColBandSize w:val="1"/>
      <w:tblBorders>
        <w:top w:val="single" w:sz="8" w:space="0" w:color="7ED2FF" w:themeColor="accent3"/>
        <w:left w:val="single" w:sz="8" w:space="0" w:color="7ED2FF" w:themeColor="accent3"/>
        <w:bottom w:val="single" w:sz="8" w:space="0" w:color="7ED2FF" w:themeColor="accent3"/>
        <w:right w:val="single" w:sz="8" w:space="0" w:color="7ED2FF" w:themeColor="accent3"/>
      </w:tblBorders>
    </w:tblPr>
    <w:tblStylePr w:type="firstRow">
      <w:pPr>
        <w:spacing w:before="0" w:after="0" w:line="240" w:lineRule="auto"/>
      </w:pPr>
      <w:rPr>
        <w:b/>
        <w:bCs/>
        <w:color w:val="FFFFFF" w:themeColor="background1"/>
      </w:rPr>
      <w:tblPr/>
      <w:tcPr>
        <w:shd w:val="clear" w:color="auto" w:fill="7ED2FF" w:themeFill="accent3"/>
      </w:tcPr>
    </w:tblStylePr>
    <w:tblStylePr w:type="lastRow">
      <w:pPr>
        <w:spacing w:before="0" w:after="0" w:line="240" w:lineRule="auto"/>
      </w:pPr>
      <w:rPr>
        <w:b/>
        <w:bCs/>
      </w:rPr>
      <w:tblPr/>
      <w:tcPr>
        <w:tcBorders>
          <w:top w:val="double" w:sz="6" w:space="0" w:color="7ED2FF" w:themeColor="accent3"/>
          <w:left w:val="single" w:sz="8" w:space="0" w:color="7ED2FF" w:themeColor="accent3"/>
          <w:bottom w:val="single" w:sz="8" w:space="0" w:color="7ED2FF" w:themeColor="accent3"/>
          <w:right w:val="single" w:sz="8" w:space="0" w:color="7ED2FF" w:themeColor="accent3"/>
        </w:tcBorders>
      </w:tcPr>
    </w:tblStylePr>
    <w:tblStylePr w:type="firstCol">
      <w:rPr>
        <w:b/>
        <w:bCs/>
      </w:rPr>
    </w:tblStylePr>
    <w:tblStylePr w:type="lastCol">
      <w:rPr>
        <w:b/>
        <w:bCs/>
      </w:rPr>
    </w:tblStylePr>
    <w:tblStylePr w:type="band1Vert">
      <w:tblPr/>
      <w:tcPr>
        <w:tcBorders>
          <w:top w:val="single" w:sz="8" w:space="0" w:color="7ED2FF" w:themeColor="accent3"/>
          <w:left w:val="single" w:sz="8" w:space="0" w:color="7ED2FF" w:themeColor="accent3"/>
          <w:bottom w:val="single" w:sz="8" w:space="0" w:color="7ED2FF" w:themeColor="accent3"/>
          <w:right w:val="single" w:sz="8" w:space="0" w:color="7ED2FF" w:themeColor="accent3"/>
        </w:tcBorders>
      </w:tcPr>
    </w:tblStylePr>
    <w:tblStylePr w:type="band1Horz">
      <w:tblPr/>
      <w:tcPr>
        <w:tcBorders>
          <w:top w:val="single" w:sz="8" w:space="0" w:color="7ED2FF" w:themeColor="accent3"/>
          <w:left w:val="single" w:sz="8" w:space="0" w:color="7ED2FF" w:themeColor="accent3"/>
          <w:bottom w:val="single" w:sz="8" w:space="0" w:color="7ED2FF" w:themeColor="accent3"/>
          <w:right w:val="single" w:sz="8" w:space="0" w:color="7ED2FF" w:themeColor="accent3"/>
        </w:tcBorders>
      </w:tcPr>
    </w:tblStylePr>
  </w:style>
  <w:style w:type="table" w:styleId="LightList-Accent4">
    <w:name w:val="Light List Accent 4"/>
    <w:basedOn w:val="TableNormal"/>
    <w:uiPriority w:val="61"/>
    <w:semiHidden/>
    <w:rsid w:val="007755BA"/>
    <w:pPr>
      <w:spacing w:line="240" w:lineRule="auto"/>
    </w:pPr>
    <w:tblPr>
      <w:tblStyleRowBandSize w:val="1"/>
      <w:tblStyleColBandSize w:val="1"/>
      <w:tblBorders>
        <w:top w:val="single" w:sz="8" w:space="0" w:color="0093EA" w:themeColor="accent4"/>
        <w:left w:val="single" w:sz="8" w:space="0" w:color="0093EA" w:themeColor="accent4"/>
        <w:bottom w:val="single" w:sz="8" w:space="0" w:color="0093EA" w:themeColor="accent4"/>
        <w:right w:val="single" w:sz="8" w:space="0" w:color="0093EA" w:themeColor="accent4"/>
      </w:tblBorders>
    </w:tblPr>
    <w:tblStylePr w:type="firstRow">
      <w:pPr>
        <w:spacing w:before="0" w:after="0" w:line="240" w:lineRule="auto"/>
      </w:pPr>
      <w:rPr>
        <w:b/>
        <w:bCs/>
        <w:color w:val="FFFFFF" w:themeColor="background1"/>
      </w:rPr>
      <w:tblPr/>
      <w:tcPr>
        <w:shd w:val="clear" w:color="auto" w:fill="0093EA" w:themeFill="accent4"/>
      </w:tcPr>
    </w:tblStylePr>
    <w:tblStylePr w:type="lastRow">
      <w:pPr>
        <w:spacing w:before="0" w:after="0" w:line="240" w:lineRule="auto"/>
      </w:pPr>
      <w:rPr>
        <w:b/>
        <w:bCs/>
      </w:rPr>
      <w:tblPr/>
      <w:tcPr>
        <w:tcBorders>
          <w:top w:val="double" w:sz="6" w:space="0" w:color="0093EA" w:themeColor="accent4"/>
          <w:left w:val="single" w:sz="8" w:space="0" w:color="0093EA" w:themeColor="accent4"/>
          <w:bottom w:val="single" w:sz="8" w:space="0" w:color="0093EA" w:themeColor="accent4"/>
          <w:right w:val="single" w:sz="8" w:space="0" w:color="0093EA" w:themeColor="accent4"/>
        </w:tcBorders>
      </w:tcPr>
    </w:tblStylePr>
    <w:tblStylePr w:type="firstCol">
      <w:rPr>
        <w:b/>
        <w:bCs/>
      </w:rPr>
    </w:tblStylePr>
    <w:tblStylePr w:type="lastCol">
      <w:rPr>
        <w:b/>
        <w:bCs/>
      </w:rPr>
    </w:tblStylePr>
    <w:tblStylePr w:type="band1Vert">
      <w:tblPr/>
      <w:tcPr>
        <w:tcBorders>
          <w:top w:val="single" w:sz="8" w:space="0" w:color="0093EA" w:themeColor="accent4"/>
          <w:left w:val="single" w:sz="8" w:space="0" w:color="0093EA" w:themeColor="accent4"/>
          <w:bottom w:val="single" w:sz="8" w:space="0" w:color="0093EA" w:themeColor="accent4"/>
          <w:right w:val="single" w:sz="8" w:space="0" w:color="0093EA" w:themeColor="accent4"/>
        </w:tcBorders>
      </w:tcPr>
    </w:tblStylePr>
    <w:tblStylePr w:type="band1Horz">
      <w:tblPr/>
      <w:tcPr>
        <w:tcBorders>
          <w:top w:val="single" w:sz="8" w:space="0" w:color="0093EA" w:themeColor="accent4"/>
          <w:left w:val="single" w:sz="8" w:space="0" w:color="0093EA" w:themeColor="accent4"/>
          <w:bottom w:val="single" w:sz="8" w:space="0" w:color="0093EA" w:themeColor="accent4"/>
          <w:right w:val="single" w:sz="8" w:space="0" w:color="0093EA" w:themeColor="accent4"/>
        </w:tcBorders>
      </w:tcPr>
    </w:tblStylePr>
  </w:style>
  <w:style w:type="table" w:styleId="LightList-Accent5">
    <w:name w:val="Light List Accent 5"/>
    <w:basedOn w:val="TableNormal"/>
    <w:uiPriority w:val="61"/>
    <w:semiHidden/>
    <w:rsid w:val="007755BA"/>
    <w:pPr>
      <w:spacing w:line="240" w:lineRule="auto"/>
    </w:pPr>
    <w:tblPr>
      <w:tblStyleRowBandSize w:val="1"/>
      <w:tblStyleColBandSize w:val="1"/>
      <w:tblBorders>
        <w:top w:val="single" w:sz="8" w:space="0" w:color="184398" w:themeColor="accent5"/>
        <w:left w:val="single" w:sz="8" w:space="0" w:color="184398" w:themeColor="accent5"/>
        <w:bottom w:val="single" w:sz="8" w:space="0" w:color="184398" w:themeColor="accent5"/>
        <w:right w:val="single" w:sz="8" w:space="0" w:color="184398" w:themeColor="accent5"/>
      </w:tblBorders>
    </w:tblPr>
    <w:tblStylePr w:type="firstRow">
      <w:pPr>
        <w:spacing w:before="0" w:after="0" w:line="240" w:lineRule="auto"/>
      </w:pPr>
      <w:rPr>
        <w:b/>
        <w:bCs/>
        <w:color w:val="FFFFFF" w:themeColor="background1"/>
      </w:rPr>
      <w:tblPr/>
      <w:tcPr>
        <w:shd w:val="clear" w:color="auto" w:fill="184398" w:themeFill="accent5"/>
      </w:tcPr>
    </w:tblStylePr>
    <w:tblStylePr w:type="lastRow">
      <w:pPr>
        <w:spacing w:before="0" w:after="0" w:line="240" w:lineRule="auto"/>
      </w:pPr>
      <w:rPr>
        <w:b/>
        <w:bCs/>
      </w:rPr>
      <w:tblPr/>
      <w:tcPr>
        <w:tcBorders>
          <w:top w:val="double" w:sz="6" w:space="0" w:color="184398" w:themeColor="accent5"/>
          <w:left w:val="single" w:sz="8" w:space="0" w:color="184398" w:themeColor="accent5"/>
          <w:bottom w:val="single" w:sz="8" w:space="0" w:color="184398" w:themeColor="accent5"/>
          <w:right w:val="single" w:sz="8" w:space="0" w:color="184398" w:themeColor="accent5"/>
        </w:tcBorders>
      </w:tcPr>
    </w:tblStylePr>
    <w:tblStylePr w:type="firstCol">
      <w:rPr>
        <w:b/>
        <w:bCs/>
      </w:rPr>
    </w:tblStylePr>
    <w:tblStylePr w:type="lastCol">
      <w:rPr>
        <w:b/>
        <w:bCs/>
      </w:rPr>
    </w:tblStylePr>
    <w:tblStylePr w:type="band1Vert">
      <w:tblPr/>
      <w:tcPr>
        <w:tcBorders>
          <w:top w:val="single" w:sz="8" w:space="0" w:color="184398" w:themeColor="accent5"/>
          <w:left w:val="single" w:sz="8" w:space="0" w:color="184398" w:themeColor="accent5"/>
          <w:bottom w:val="single" w:sz="8" w:space="0" w:color="184398" w:themeColor="accent5"/>
          <w:right w:val="single" w:sz="8" w:space="0" w:color="184398" w:themeColor="accent5"/>
        </w:tcBorders>
      </w:tcPr>
    </w:tblStylePr>
    <w:tblStylePr w:type="band1Horz">
      <w:tblPr/>
      <w:tcPr>
        <w:tcBorders>
          <w:top w:val="single" w:sz="8" w:space="0" w:color="184398" w:themeColor="accent5"/>
          <w:left w:val="single" w:sz="8" w:space="0" w:color="184398" w:themeColor="accent5"/>
          <w:bottom w:val="single" w:sz="8" w:space="0" w:color="184398" w:themeColor="accent5"/>
          <w:right w:val="single" w:sz="8" w:space="0" w:color="184398" w:themeColor="accent5"/>
        </w:tcBorders>
      </w:tcPr>
    </w:tblStylePr>
  </w:style>
  <w:style w:type="table" w:styleId="LightList-Accent6">
    <w:name w:val="Light List Accent 6"/>
    <w:basedOn w:val="TableNormal"/>
    <w:uiPriority w:val="61"/>
    <w:semiHidden/>
    <w:rsid w:val="007755BA"/>
    <w:pPr>
      <w:spacing w:line="240" w:lineRule="auto"/>
    </w:pPr>
    <w:tblPr>
      <w:tblStyleRowBandSize w:val="1"/>
      <w:tblStyleColBandSize w:val="1"/>
      <w:tblBorders>
        <w:top w:val="single" w:sz="8" w:space="0" w:color="00AFAE" w:themeColor="accent6"/>
        <w:left w:val="single" w:sz="8" w:space="0" w:color="00AFAE" w:themeColor="accent6"/>
        <w:bottom w:val="single" w:sz="8" w:space="0" w:color="00AFAE" w:themeColor="accent6"/>
        <w:right w:val="single" w:sz="8" w:space="0" w:color="00AFAE" w:themeColor="accent6"/>
      </w:tblBorders>
    </w:tblPr>
    <w:tblStylePr w:type="firstRow">
      <w:pPr>
        <w:spacing w:before="0" w:after="0" w:line="240" w:lineRule="auto"/>
      </w:pPr>
      <w:rPr>
        <w:b/>
        <w:bCs/>
        <w:color w:val="FFFFFF" w:themeColor="background1"/>
      </w:rPr>
      <w:tblPr/>
      <w:tcPr>
        <w:shd w:val="clear" w:color="auto" w:fill="00AFAE" w:themeFill="accent6"/>
      </w:tcPr>
    </w:tblStylePr>
    <w:tblStylePr w:type="lastRow">
      <w:pPr>
        <w:spacing w:before="0" w:after="0" w:line="240" w:lineRule="auto"/>
      </w:pPr>
      <w:rPr>
        <w:b/>
        <w:bCs/>
      </w:rPr>
      <w:tblPr/>
      <w:tcPr>
        <w:tcBorders>
          <w:top w:val="double" w:sz="6" w:space="0" w:color="00AFAE" w:themeColor="accent6"/>
          <w:left w:val="single" w:sz="8" w:space="0" w:color="00AFAE" w:themeColor="accent6"/>
          <w:bottom w:val="single" w:sz="8" w:space="0" w:color="00AFAE" w:themeColor="accent6"/>
          <w:right w:val="single" w:sz="8" w:space="0" w:color="00AFAE" w:themeColor="accent6"/>
        </w:tcBorders>
      </w:tcPr>
    </w:tblStylePr>
    <w:tblStylePr w:type="firstCol">
      <w:rPr>
        <w:b/>
        <w:bCs/>
      </w:rPr>
    </w:tblStylePr>
    <w:tblStylePr w:type="lastCol">
      <w:rPr>
        <w:b/>
        <w:bCs/>
      </w:rPr>
    </w:tblStylePr>
    <w:tblStylePr w:type="band1Vert">
      <w:tblPr/>
      <w:tcPr>
        <w:tcBorders>
          <w:top w:val="single" w:sz="8" w:space="0" w:color="00AFAE" w:themeColor="accent6"/>
          <w:left w:val="single" w:sz="8" w:space="0" w:color="00AFAE" w:themeColor="accent6"/>
          <w:bottom w:val="single" w:sz="8" w:space="0" w:color="00AFAE" w:themeColor="accent6"/>
          <w:right w:val="single" w:sz="8" w:space="0" w:color="00AFAE" w:themeColor="accent6"/>
        </w:tcBorders>
      </w:tcPr>
    </w:tblStylePr>
    <w:tblStylePr w:type="band1Horz">
      <w:tblPr/>
      <w:tcPr>
        <w:tcBorders>
          <w:top w:val="single" w:sz="8" w:space="0" w:color="00AFAE" w:themeColor="accent6"/>
          <w:left w:val="single" w:sz="8" w:space="0" w:color="00AFAE" w:themeColor="accent6"/>
          <w:bottom w:val="single" w:sz="8" w:space="0" w:color="00AFAE" w:themeColor="accent6"/>
          <w:right w:val="single" w:sz="8" w:space="0" w:color="00AFAE" w:themeColor="accent6"/>
        </w:tcBorders>
      </w:tcPr>
    </w:tblStylePr>
  </w:style>
  <w:style w:type="table" w:styleId="LightShading">
    <w:name w:val="Light Shading"/>
    <w:basedOn w:val="TableNormal"/>
    <w:uiPriority w:val="60"/>
    <w:semiHidden/>
    <w:rsid w:val="007755BA"/>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755BA"/>
    <w:pPr>
      <w:spacing w:line="240" w:lineRule="auto"/>
    </w:pPr>
    <w:rPr>
      <w:color w:val="0086B2" w:themeColor="accent1" w:themeShade="BF"/>
    </w:rPr>
    <w:tblPr>
      <w:tblStyleRowBandSize w:val="1"/>
      <w:tblStyleColBandSize w:val="1"/>
      <w:tblBorders>
        <w:top w:val="single" w:sz="8" w:space="0" w:color="00B4EE" w:themeColor="accent1"/>
        <w:bottom w:val="single" w:sz="8" w:space="0" w:color="00B4EE" w:themeColor="accent1"/>
      </w:tblBorders>
    </w:tblPr>
    <w:tblStylePr w:type="firstRow">
      <w:pPr>
        <w:spacing w:before="0" w:after="0" w:line="240" w:lineRule="auto"/>
      </w:pPr>
      <w:rPr>
        <w:b/>
        <w:bCs/>
      </w:rPr>
      <w:tblPr/>
      <w:tcPr>
        <w:tcBorders>
          <w:top w:val="single" w:sz="8" w:space="0" w:color="00B4EE" w:themeColor="accent1"/>
          <w:left w:val="nil"/>
          <w:bottom w:val="single" w:sz="8" w:space="0" w:color="00B4EE" w:themeColor="accent1"/>
          <w:right w:val="nil"/>
          <w:insideH w:val="nil"/>
          <w:insideV w:val="nil"/>
        </w:tcBorders>
      </w:tcPr>
    </w:tblStylePr>
    <w:tblStylePr w:type="lastRow">
      <w:pPr>
        <w:spacing w:before="0" w:after="0" w:line="240" w:lineRule="auto"/>
      </w:pPr>
      <w:rPr>
        <w:b/>
        <w:bCs/>
      </w:rPr>
      <w:tblPr/>
      <w:tcPr>
        <w:tcBorders>
          <w:top w:val="single" w:sz="8" w:space="0" w:color="00B4EE" w:themeColor="accent1"/>
          <w:left w:val="nil"/>
          <w:bottom w:val="single" w:sz="8" w:space="0" w:color="00B4E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EEFF" w:themeFill="accent1" w:themeFillTint="3F"/>
      </w:tcPr>
    </w:tblStylePr>
    <w:tblStylePr w:type="band1Horz">
      <w:tblPr/>
      <w:tcPr>
        <w:tcBorders>
          <w:left w:val="nil"/>
          <w:right w:val="nil"/>
          <w:insideH w:val="nil"/>
          <w:insideV w:val="nil"/>
        </w:tcBorders>
        <w:shd w:val="clear" w:color="auto" w:fill="BBEEFF" w:themeFill="accent1" w:themeFillTint="3F"/>
      </w:tcPr>
    </w:tblStylePr>
  </w:style>
  <w:style w:type="table" w:styleId="LightShading-Accent2">
    <w:name w:val="Light Shading Accent 2"/>
    <w:basedOn w:val="TableNormal"/>
    <w:uiPriority w:val="60"/>
    <w:semiHidden/>
    <w:rsid w:val="007755BA"/>
    <w:pPr>
      <w:spacing w:line="240" w:lineRule="auto"/>
    </w:pPr>
    <w:rPr>
      <w:color w:val="005099" w:themeColor="accent2" w:themeShade="BF"/>
    </w:rPr>
    <w:tblPr>
      <w:tblStyleRowBandSize w:val="1"/>
      <w:tblStyleColBandSize w:val="1"/>
      <w:tblBorders>
        <w:top w:val="single" w:sz="8" w:space="0" w:color="006CCD" w:themeColor="accent2"/>
        <w:bottom w:val="single" w:sz="8" w:space="0" w:color="006CCD" w:themeColor="accent2"/>
      </w:tblBorders>
    </w:tblPr>
    <w:tblStylePr w:type="firstRow">
      <w:pPr>
        <w:spacing w:before="0" w:after="0" w:line="240" w:lineRule="auto"/>
      </w:pPr>
      <w:rPr>
        <w:b/>
        <w:bCs/>
      </w:rPr>
      <w:tblPr/>
      <w:tcPr>
        <w:tcBorders>
          <w:top w:val="single" w:sz="8" w:space="0" w:color="006CCD" w:themeColor="accent2"/>
          <w:left w:val="nil"/>
          <w:bottom w:val="single" w:sz="8" w:space="0" w:color="006CCD" w:themeColor="accent2"/>
          <w:right w:val="nil"/>
          <w:insideH w:val="nil"/>
          <w:insideV w:val="nil"/>
        </w:tcBorders>
      </w:tcPr>
    </w:tblStylePr>
    <w:tblStylePr w:type="lastRow">
      <w:pPr>
        <w:spacing w:before="0" w:after="0" w:line="240" w:lineRule="auto"/>
      </w:pPr>
      <w:rPr>
        <w:b/>
        <w:bCs/>
      </w:rPr>
      <w:tblPr/>
      <w:tcPr>
        <w:tcBorders>
          <w:top w:val="single" w:sz="8" w:space="0" w:color="006CCD" w:themeColor="accent2"/>
          <w:left w:val="nil"/>
          <w:bottom w:val="single" w:sz="8" w:space="0" w:color="006CC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BFF" w:themeFill="accent2" w:themeFillTint="3F"/>
      </w:tcPr>
    </w:tblStylePr>
    <w:tblStylePr w:type="band1Horz">
      <w:tblPr/>
      <w:tcPr>
        <w:tcBorders>
          <w:left w:val="nil"/>
          <w:right w:val="nil"/>
          <w:insideH w:val="nil"/>
          <w:insideV w:val="nil"/>
        </w:tcBorders>
        <w:shd w:val="clear" w:color="auto" w:fill="B3DBFF" w:themeFill="accent2" w:themeFillTint="3F"/>
      </w:tcPr>
    </w:tblStylePr>
  </w:style>
  <w:style w:type="table" w:styleId="LightShading-Accent3">
    <w:name w:val="Light Shading Accent 3"/>
    <w:basedOn w:val="TableNormal"/>
    <w:uiPriority w:val="60"/>
    <w:semiHidden/>
    <w:rsid w:val="007755BA"/>
    <w:pPr>
      <w:spacing w:line="240" w:lineRule="auto"/>
    </w:pPr>
    <w:rPr>
      <w:color w:val="1EB0FF" w:themeColor="accent3" w:themeShade="BF"/>
    </w:rPr>
    <w:tblPr>
      <w:tblStyleRowBandSize w:val="1"/>
      <w:tblStyleColBandSize w:val="1"/>
      <w:tblBorders>
        <w:top w:val="single" w:sz="8" w:space="0" w:color="7ED2FF" w:themeColor="accent3"/>
        <w:bottom w:val="single" w:sz="8" w:space="0" w:color="7ED2FF" w:themeColor="accent3"/>
      </w:tblBorders>
    </w:tblPr>
    <w:tblStylePr w:type="firstRow">
      <w:pPr>
        <w:spacing w:before="0" w:after="0" w:line="240" w:lineRule="auto"/>
      </w:pPr>
      <w:rPr>
        <w:b/>
        <w:bCs/>
      </w:rPr>
      <w:tblPr/>
      <w:tcPr>
        <w:tcBorders>
          <w:top w:val="single" w:sz="8" w:space="0" w:color="7ED2FF" w:themeColor="accent3"/>
          <w:left w:val="nil"/>
          <w:bottom w:val="single" w:sz="8" w:space="0" w:color="7ED2FF" w:themeColor="accent3"/>
          <w:right w:val="nil"/>
          <w:insideH w:val="nil"/>
          <w:insideV w:val="nil"/>
        </w:tcBorders>
      </w:tcPr>
    </w:tblStylePr>
    <w:tblStylePr w:type="lastRow">
      <w:pPr>
        <w:spacing w:before="0" w:after="0" w:line="240" w:lineRule="auto"/>
      </w:pPr>
      <w:rPr>
        <w:b/>
        <w:bCs/>
      </w:rPr>
      <w:tblPr/>
      <w:tcPr>
        <w:tcBorders>
          <w:top w:val="single" w:sz="8" w:space="0" w:color="7ED2FF" w:themeColor="accent3"/>
          <w:left w:val="nil"/>
          <w:bottom w:val="single" w:sz="8" w:space="0" w:color="7ED2F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F3FF" w:themeFill="accent3" w:themeFillTint="3F"/>
      </w:tcPr>
    </w:tblStylePr>
    <w:tblStylePr w:type="band1Horz">
      <w:tblPr/>
      <w:tcPr>
        <w:tcBorders>
          <w:left w:val="nil"/>
          <w:right w:val="nil"/>
          <w:insideH w:val="nil"/>
          <w:insideV w:val="nil"/>
        </w:tcBorders>
        <w:shd w:val="clear" w:color="auto" w:fill="DFF3FF" w:themeFill="accent3" w:themeFillTint="3F"/>
      </w:tcPr>
    </w:tblStylePr>
  </w:style>
  <w:style w:type="table" w:styleId="LightShading-Accent4">
    <w:name w:val="Light Shading Accent 4"/>
    <w:basedOn w:val="TableNormal"/>
    <w:uiPriority w:val="60"/>
    <w:semiHidden/>
    <w:rsid w:val="007755BA"/>
    <w:pPr>
      <w:spacing w:line="240" w:lineRule="auto"/>
    </w:pPr>
    <w:rPr>
      <w:color w:val="006DAF" w:themeColor="accent4" w:themeShade="BF"/>
    </w:rPr>
    <w:tblPr>
      <w:tblStyleRowBandSize w:val="1"/>
      <w:tblStyleColBandSize w:val="1"/>
      <w:tblBorders>
        <w:top w:val="single" w:sz="8" w:space="0" w:color="0093EA" w:themeColor="accent4"/>
        <w:bottom w:val="single" w:sz="8" w:space="0" w:color="0093EA" w:themeColor="accent4"/>
      </w:tblBorders>
    </w:tblPr>
    <w:tblStylePr w:type="firstRow">
      <w:pPr>
        <w:spacing w:before="0" w:after="0" w:line="240" w:lineRule="auto"/>
      </w:pPr>
      <w:rPr>
        <w:b/>
        <w:bCs/>
      </w:rPr>
      <w:tblPr/>
      <w:tcPr>
        <w:tcBorders>
          <w:top w:val="single" w:sz="8" w:space="0" w:color="0093EA" w:themeColor="accent4"/>
          <w:left w:val="nil"/>
          <w:bottom w:val="single" w:sz="8" w:space="0" w:color="0093EA" w:themeColor="accent4"/>
          <w:right w:val="nil"/>
          <w:insideH w:val="nil"/>
          <w:insideV w:val="nil"/>
        </w:tcBorders>
      </w:tcPr>
    </w:tblStylePr>
    <w:tblStylePr w:type="lastRow">
      <w:pPr>
        <w:spacing w:before="0" w:after="0" w:line="240" w:lineRule="auto"/>
      </w:pPr>
      <w:rPr>
        <w:b/>
        <w:bCs/>
      </w:rPr>
      <w:tblPr/>
      <w:tcPr>
        <w:tcBorders>
          <w:top w:val="single" w:sz="8" w:space="0" w:color="0093EA" w:themeColor="accent4"/>
          <w:left w:val="nil"/>
          <w:bottom w:val="single" w:sz="8" w:space="0" w:color="0093EA"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E5FF" w:themeFill="accent4" w:themeFillTint="3F"/>
      </w:tcPr>
    </w:tblStylePr>
    <w:tblStylePr w:type="band1Horz">
      <w:tblPr/>
      <w:tcPr>
        <w:tcBorders>
          <w:left w:val="nil"/>
          <w:right w:val="nil"/>
          <w:insideH w:val="nil"/>
          <w:insideV w:val="nil"/>
        </w:tcBorders>
        <w:shd w:val="clear" w:color="auto" w:fill="BAE5FF" w:themeFill="accent4" w:themeFillTint="3F"/>
      </w:tcPr>
    </w:tblStylePr>
  </w:style>
  <w:style w:type="table" w:styleId="LightShading-Accent5">
    <w:name w:val="Light Shading Accent 5"/>
    <w:basedOn w:val="TableNormal"/>
    <w:uiPriority w:val="60"/>
    <w:semiHidden/>
    <w:rsid w:val="007755BA"/>
    <w:pPr>
      <w:spacing w:line="240" w:lineRule="auto"/>
    </w:pPr>
    <w:rPr>
      <w:color w:val="123171" w:themeColor="accent5" w:themeShade="BF"/>
    </w:rPr>
    <w:tblPr>
      <w:tblStyleRowBandSize w:val="1"/>
      <w:tblStyleColBandSize w:val="1"/>
      <w:tblBorders>
        <w:top w:val="single" w:sz="8" w:space="0" w:color="184398" w:themeColor="accent5"/>
        <w:bottom w:val="single" w:sz="8" w:space="0" w:color="184398" w:themeColor="accent5"/>
      </w:tblBorders>
    </w:tblPr>
    <w:tblStylePr w:type="firstRow">
      <w:pPr>
        <w:spacing w:before="0" w:after="0" w:line="240" w:lineRule="auto"/>
      </w:pPr>
      <w:rPr>
        <w:b/>
        <w:bCs/>
      </w:rPr>
      <w:tblPr/>
      <w:tcPr>
        <w:tcBorders>
          <w:top w:val="single" w:sz="8" w:space="0" w:color="184398" w:themeColor="accent5"/>
          <w:left w:val="nil"/>
          <w:bottom w:val="single" w:sz="8" w:space="0" w:color="184398" w:themeColor="accent5"/>
          <w:right w:val="nil"/>
          <w:insideH w:val="nil"/>
          <w:insideV w:val="nil"/>
        </w:tcBorders>
      </w:tcPr>
    </w:tblStylePr>
    <w:tblStylePr w:type="lastRow">
      <w:pPr>
        <w:spacing w:before="0" w:after="0" w:line="240" w:lineRule="auto"/>
      </w:pPr>
      <w:rPr>
        <w:b/>
        <w:bCs/>
      </w:rPr>
      <w:tblPr/>
      <w:tcPr>
        <w:tcBorders>
          <w:top w:val="single" w:sz="8" w:space="0" w:color="184398" w:themeColor="accent5"/>
          <w:left w:val="nil"/>
          <w:bottom w:val="single" w:sz="8" w:space="0" w:color="18439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CBF3" w:themeFill="accent5" w:themeFillTint="3F"/>
      </w:tcPr>
    </w:tblStylePr>
    <w:tblStylePr w:type="band1Horz">
      <w:tblPr/>
      <w:tcPr>
        <w:tcBorders>
          <w:left w:val="nil"/>
          <w:right w:val="nil"/>
          <w:insideH w:val="nil"/>
          <w:insideV w:val="nil"/>
        </w:tcBorders>
        <w:shd w:val="clear" w:color="auto" w:fill="B7CBF3" w:themeFill="accent5" w:themeFillTint="3F"/>
      </w:tcPr>
    </w:tblStylePr>
  </w:style>
  <w:style w:type="table" w:styleId="LightShading-Accent6">
    <w:name w:val="Light Shading Accent 6"/>
    <w:basedOn w:val="TableNormal"/>
    <w:uiPriority w:val="60"/>
    <w:semiHidden/>
    <w:rsid w:val="007755BA"/>
    <w:pPr>
      <w:spacing w:line="240" w:lineRule="auto"/>
    </w:pPr>
    <w:rPr>
      <w:color w:val="008381" w:themeColor="accent6" w:themeShade="BF"/>
    </w:rPr>
    <w:tblPr>
      <w:tblStyleRowBandSize w:val="1"/>
      <w:tblStyleColBandSize w:val="1"/>
      <w:tblBorders>
        <w:top w:val="single" w:sz="8" w:space="0" w:color="00AFAE" w:themeColor="accent6"/>
        <w:bottom w:val="single" w:sz="8" w:space="0" w:color="00AFAE" w:themeColor="accent6"/>
      </w:tblBorders>
    </w:tblPr>
    <w:tblStylePr w:type="firstRow">
      <w:pPr>
        <w:spacing w:before="0" w:after="0" w:line="240" w:lineRule="auto"/>
      </w:pPr>
      <w:rPr>
        <w:b/>
        <w:bCs/>
      </w:rPr>
      <w:tblPr/>
      <w:tcPr>
        <w:tcBorders>
          <w:top w:val="single" w:sz="8" w:space="0" w:color="00AFAE" w:themeColor="accent6"/>
          <w:left w:val="nil"/>
          <w:bottom w:val="single" w:sz="8" w:space="0" w:color="00AFAE" w:themeColor="accent6"/>
          <w:right w:val="nil"/>
          <w:insideH w:val="nil"/>
          <w:insideV w:val="nil"/>
        </w:tcBorders>
      </w:tcPr>
    </w:tblStylePr>
    <w:tblStylePr w:type="lastRow">
      <w:pPr>
        <w:spacing w:before="0" w:after="0" w:line="240" w:lineRule="auto"/>
      </w:pPr>
      <w:rPr>
        <w:b/>
        <w:bCs/>
      </w:rPr>
      <w:tblPr/>
      <w:tcPr>
        <w:tcBorders>
          <w:top w:val="single" w:sz="8" w:space="0" w:color="00AFAE" w:themeColor="accent6"/>
          <w:left w:val="nil"/>
          <w:bottom w:val="single" w:sz="8" w:space="0" w:color="00AFA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E" w:themeFill="accent6" w:themeFillTint="3F"/>
      </w:tcPr>
    </w:tblStylePr>
    <w:tblStylePr w:type="band1Horz">
      <w:tblPr/>
      <w:tcPr>
        <w:tcBorders>
          <w:left w:val="nil"/>
          <w:right w:val="nil"/>
          <w:insideH w:val="nil"/>
          <w:insideV w:val="nil"/>
        </w:tcBorders>
        <w:shd w:val="clear" w:color="auto" w:fill="ACFFFE" w:themeFill="accent6" w:themeFillTint="3F"/>
      </w:tcPr>
    </w:tblStylePr>
  </w:style>
  <w:style w:type="table" w:styleId="ListTable1Light">
    <w:name w:val="List Table 1 Light"/>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5BD6FF" w:themeColor="accent1" w:themeTint="99"/>
        </w:tcBorders>
      </w:tcPr>
    </w:tblStylePr>
    <w:tblStylePr w:type="lastRow">
      <w:rPr>
        <w:b/>
        <w:bCs/>
      </w:rPr>
      <w:tblPr/>
      <w:tcPr>
        <w:tcBorders>
          <w:top w:val="single" w:sz="4" w:space="0" w:color="5BD6FF" w:themeColor="accent1" w:themeTint="99"/>
        </w:tcBorders>
      </w:tcPr>
    </w:tblStylePr>
    <w:tblStylePr w:type="firstCol">
      <w:rPr>
        <w:b/>
        <w:bCs/>
      </w:rPr>
    </w:tblStylePr>
    <w:tblStylePr w:type="lastCol">
      <w:rPr>
        <w:b/>
        <w:bCs/>
      </w:rPr>
    </w:tblStylePr>
    <w:tblStylePr w:type="band1Vert">
      <w:tblPr/>
      <w:tcPr>
        <w:shd w:val="clear" w:color="auto" w:fill="C8F1FF" w:themeFill="accent1" w:themeFillTint="33"/>
      </w:tcPr>
    </w:tblStylePr>
    <w:tblStylePr w:type="band1Horz">
      <w:tblPr/>
      <w:tcPr>
        <w:shd w:val="clear" w:color="auto" w:fill="C8F1FF" w:themeFill="accent1" w:themeFillTint="33"/>
      </w:tcPr>
    </w:tblStylePr>
  </w:style>
  <w:style w:type="table" w:styleId="ListTable1Light-Accent2">
    <w:name w:val="List Table 1 Light Accent 2"/>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48A8FF" w:themeColor="accent2" w:themeTint="99"/>
        </w:tcBorders>
      </w:tcPr>
    </w:tblStylePr>
    <w:tblStylePr w:type="lastRow">
      <w:rPr>
        <w:b/>
        <w:bCs/>
      </w:rPr>
      <w:tblPr/>
      <w:tcPr>
        <w:tcBorders>
          <w:top w:val="single" w:sz="4" w:space="0" w:color="48A8FF" w:themeColor="accent2" w:themeTint="99"/>
        </w:tcBorders>
      </w:tcPr>
    </w:tblStylePr>
    <w:tblStylePr w:type="firstCol">
      <w:rPr>
        <w:b/>
        <w:bCs/>
      </w:rPr>
    </w:tblStylePr>
    <w:tblStylePr w:type="lastCol">
      <w:rPr>
        <w:b/>
        <w:bCs/>
      </w:rPr>
    </w:tblStylePr>
    <w:tblStylePr w:type="band1Vert">
      <w:tblPr/>
      <w:tcPr>
        <w:shd w:val="clear" w:color="auto" w:fill="C2E2FF" w:themeFill="accent2" w:themeFillTint="33"/>
      </w:tcPr>
    </w:tblStylePr>
    <w:tblStylePr w:type="band1Horz">
      <w:tblPr/>
      <w:tcPr>
        <w:shd w:val="clear" w:color="auto" w:fill="C2E2FF" w:themeFill="accent2" w:themeFillTint="33"/>
      </w:tcPr>
    </w:tblStylePr>
  </w:style>
  <w:style w:type="table" w:styleId="ListTable1Light-Accent3">
    <w:name w:val="List Table 1 Light Accent 3"/>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B1E3FF" w:themeColor="accent3" w:themeTint="99"/>
        </w:tcBorders>
      </w:tcPr>
    </w:tblStylePr>
    <w:tblStylePr w:type="lastRow">
      <w:rPr>
        <w:b/>
        <w:bCs/>
      </w:rPr>
      <w:tblPr/>
      <w:tcPr>
        <w:tcBorders>
          <w:top w:val="single" w:sz="4" w:space="0" w:color="B1E3FF" w:themeColor="accent3" w:themeTint="99"/>
        </w:tcBorders>
      </w:tcPr>
    </w:tblStylePr>
    <w:tblStylePr w:type="firstCol">
      <w:rPr>
        <w:b/>
        <w:bCs/>
      </w:rPr>
    </w:tblStylePr>
    <w:tblStylePr w:type="lastCol">
      <w:rPr>
        <w:b/>
        <w:bCs/>
      </w:rPr>
    </w:tblStylePr>
    <w:tblStylePr w:type="band1Vert">
      <w:tblPr/>
      <w:tcPr>
        <w:shd w:val="clear" w:color="auto" w:fill="E5F5FF" w:themeFill="accent3" w:themeFillTint="33"/>
      </w:tcPr>
    </w:tblStylePr>
    <w:tblStylePr w:type="band1Horz">
      <w:tblPr/>
      <w:tcPr>
        <w:shd w:val="clear" w:color="auto" w:fill="E5F5FF" w:themeFill="accent3" w:themeFillTint="33"/>
      </w:tcPr>
    </w:tblStylePr>
  </w:style>
  <w:style w:type="table" w:styleId="ListTable1Light-Accent4">
    <w:name w:val="List Table 1 Light Accent 4"/>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59C1FF" w:themeColor="accent4" w:themeTint="99"/>
        </w:tcBorders>
      </w:tcPr>
    </w:tblStylePr>
    <w:tblStylePr w:type="lastRow">
      <w:rPr>
        <w:b/>
        <w:bCs/>
      </w:rPr>
      <w:tblPr/>
      <w:tcPr>
        <w:tcBorders>
          <w:top w:val="single" w:sz="4" w:space="0" w:color="59C1FF" w:themeColor="accent4" w:themeTint="99"/>
        </w:tcBorders>
      </w:tcPr>
    </w:tblStylePr>
    <w:tblStylePr w:type="firstCol">
      <w:rPr>
        <w:b/>
        <w:bCs/>
      </w:rPr>
    </w:tblStylePr>
    <w:tblStylePr w:type="lastCol">
      <w:rPr>
        <w:b/>
        <w:bCs/>
      </w:rPr>
    </w:tblStylePr>
    <w:tblStylePr w:type="band1Vert">
      <w:tblPr/>
      <w:tcPr>
        <w:shd w:val="clear" w:color="auto" w:fill="C7EAFF" w:themeFill="accent4" w:themeFillTint="33"/>
      </w:tcPr>
    </w:tblStylePr>
    <w:tblStylePr w:type="band1Horz">
      <w:tblPr/>
      <w:tcPr>
        <w:shd w:val="clear" w:color="auto" w:fill="C7EAFF" w:themeFill="accent4" w:themeFillTint="33"/>
      </w:tcPr>
    </w:tblStylePr>
  </w:style>
  <w:style w:type="table" w:styleId="ListTable1Light-Accent5">
    <w:name w:val="List Table 1 Light Accent 5"/>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5182E3" w:themeColor="accent5" w:themeTint="99"/>
        </w:tcBorders>
      </w:tcPr>
    </w:tblStylePr>
    <w:tblStylePr w:type="lastRow">
      <w:rPr>
        <w:b/>
        <w:bCs/>
      </w:rPr>
      <w:tblPr/>
      <w:tcPr>
        <w:tcBorders>
          <w:top w:val="single" w:sz="4" w:space="0" w:color="5182E3" w:themeColor="accent5" w:themeTint="99"/>
        </w:tcBorders>
      </w:tc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table" w:styleId="ListTable1Light-Accent6">
    <w:name w:val="List Table 1 Light Accent 6"/>
    <w:basedOn w:val="TableNormal"/>
    <w:uiPriority w:val="46"/>
    <w:semiHidden/>
    <w:rsid w:val="007755BA"/>
    <w:pPr>
      <w:spacing w:line="240" w:lineRule="auto"/>
    </w:pPr>
    <w:tblPr>
      <w:tblStyleRowBandSize w:val="1"/>
      <w:tblStyleColBandSize w:val="1"/>
    </w:tblPr>
    <w:tblStylePr w:type="firstRow">
      <w:rPr>
        <w:b/>
        <w:bCs/>
      </w:rPr>
      <w:tblPr/>
      <w:tcPr>
        <w:tcBorders>
          <w:bottom w:val="single" w:sz="4" w:space="0" w:color="36FFFD" w:themeColor="accent6" w:themeTint="99"/>
        </w:tcBorders>
      </w:tcPr>
    </w:tblStylePr>
    <w:tblStylePr w:type="lastRow">
      <w:rPr>
        <w:b/>
        <w:bCs/>
      </w:rPr>
      <w:tblPr/>
      <w:tcPr>
        <w:tcBorders>
          <w:top w:val="single" w:sz="4" w:space="0" w:color="36FFFD" w:themeColor="accent6" w:themeTint="99"/>
        </w:tcBorders>
      </w:tcPr>
    </w:tblStylePr>
    <w:tblStylePr w:type="firstCol">
      <w:rPr>
        <w:b/>
        <w:bCs/>
      </w:rPr>
    </w:tblStylePr>
    <w:tblStylePr w:type="lastCol">
      <w:rPr>
        <w:b/>
        <w:bCs/>
      </w:rPr>
    </w:tblStylePr>
    <w:tblStylePr w:type="band1Vert">
      <w:tblPr/>
      <w:tcPr>
        <w:shd w:val="clear" w:color="auto" w:fill="BCFFFE" w:themeFill="accent6" w:themeFillTint="33"/>
      </w:tcPr>
    </w:tblStylePr>
    <w:tblStylePr w:type="band1Horz">
      <w:tblPr/>
      <w:tcPr>
        <w:shd w:val="clear" w:color="auto" w:fill="BCFFFE" w:themeFill="accent6" w:themeFillTint="33"/>
      </w:tcPr>
    </w:tblStylePr>
  </w:style>
  <w:style w:type="table" w:styleId="ListTable2">
    <w:name w:val="List Table 2"/>
    <w:basedOn w:val="TableNormal"/>
    <w:uiPriority w:val="47"/>
    <w:semiHidden/>
    <w:rsid w:val="007755BA"/>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755BA"/>
    <w:pPr>
      <w:spacing w:line="240" w:lineRule="auto"/>
    </w:pPr>
    <w:tblPr>
      <w:tblStyleRowBandSize w:val="1"/>
      <w:tblStyleColBandSize w:val="1"/>
      <w:tblBorders>
        <w:top w:val="single" w:sz="4" w:space="0" w:color="5BD6FF" w:themeColor="accent1" w:themeTint="99"/>
        <w:bottom w:val="single" w:sz="4" w:space="0" w:color="5BD6FF" w:themeColor="accent1" w:themeTint="99"/>
        <w:insideH w:val="single" w:sz="4" w:space="0" w:color="5BD6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F1FF" w:themeFill="accent1" w:themeFillTint="33"/>
      </w:tcPr>
    </w:tblStylePr>
    <w:tblStylePr w:type="band1Horz">
      <w:tblPr/>
      <w:tcPr>
        <w:shd w:val="clear" w:color="auto" w:fill="C8F1FF" w:themeFill="accent1" w:themeFillTint="33"/>
      </w:tcPr>
    </w:tblStylePr>
  </w:style>
  <w:style w:type="table" w:styleId="ListTable2-Accent2">
    <w:name w:val="List Table 2 Accent 2"/>
    <w:basedOn w:val="TableNormal"/>
    <w:uiPriority w:val="47"/>
    <w:semiHidden/>
    <w:rsid w:val="007755BA"/>
    <w:pPr>
      <w:spacing w:line="240" w:lineRule="auto"/>
    </w:pPr>
    <w:tblPr>
      <w:tblStyleRowBandSize w:val="1"/>
      <w:tblStyleColBandSize w:val="1"/>
      <w:tblBorders>
        <w:top w:val="single" w:sz="4" w:space="0" w:color="48A8FF" w:themeColor="accent2" w:themeTint="99"/>
        <w:bottom w:val="single" w:sz="4" w:space="0" w:color="48A8FF" w:themeColor="accent2" w:themeTint="99"/>
        <w:insideH w:val="single" w:sz="4" w:space="0" w:color="48A8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2FF" w:themeFill="accent2" w:themeFillTint="33"/>
      </w:tcPr>
    </w:tblStylePr>
    <w:tblStylePr w:type="band1Horz">
      <w:tblPr/>
      <w:tcPr>
        <w:shd w:val="clear" w:color="auto" w:fill="C2E2FF" w:themeFill="accent2" w:themeFillTint="33"/>
      </w:tcPr>
    </w:tblStylePr>
  </w:style>
  <w:style w:type="table" w:styleId="ListTable2-Accent3">
    <w:name w:val="List Table 2 Accent 3"/>
    <w:basedOn w:val="TableNormal"/>
    <w:uiPriority w:val="47"/>
    <w:semiHidden/>
    <w:rsid w:val="007755BA"/>
    <w:pPr>
      <w:spacing w:line="240" w:lineRule="auto"/>
    </w:pPr>
    <w:tblPr>
      <w:tblStyleRowBandSize w:val="1"/>
      <w:tblStyleColBandSize w:val="1"/>
      <w:tblBorders>
        <w:top w:val="single" w:sz="4" w:space="0" w:color="B1E3FF" w:themeColor="accent3" w:themeTint="99"/>
        <w:bottom w:val="single" w:sz="4" w:space="0" w:color="B1E3FF" w:themeColor="accent3" w:themeTint="99"/>
        <w:insideH w:val="single" w:sz="4" w:space="0" w:color="B1E3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F5FF" w:themeFill="accent3" w:themeFillTint="33"/>
      </w:tcPr>
    </w:tblStylePr>
    <w:tblStylePr w:type="band1Horz">
      <w:tblPr/>
      <w:tcPr>
        <w:shd w:val="clear" w:color="auto" w:fill="E5F5FF" w:themeFill="accent3" w:themeFillTint="33"/>
      </w:tcPr>
    </w:tblStylePr>
  </w:style>
  <w:style w:type="table" w:styleId="ListTable2-Accent4">
    <w:name w:val="List Table 2 Accent 4"/>
    <w:basedOn w:val="TableNormal"/>
    <w:uiPriority w:val="47"/>
    <w:semiHidden/>
    <w:rsid w:val="007755BA"/>
    <w:pPr>
      <w:spacing w:line="240" w:lineRule="auto"/>
    </w:pPr>
    <w:tblPr>
      <w:tblStyleRowBandSize w:val="1"/>
      <w:tblStyleColBandSize w:val="1"/>
      <w:tblBorders>
        <w:top w:val="single" w:sz="4" w:space="0" w:color="59C1FF" w:themeColor="accent4" w:themeTint="99"/>
        <w:bottom w:val="single" w:sz="4" w:space="0" w:color="59C1FF" w:themeColor="accent4" w:themeTint="99"/>
        <w:insideH w:val="single" w:sz="4" w:space="0" w:color="59C1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EAFF" w:themeFill="accent4" w:themeFillTint="33"/>
      </w:tcPr>
    </w:tblStylePr>
    <w:tblStylePr w:type="band1Horz">
      <w:tblPr/>
      <w:tcPr>
        <w:shd w:val="clear" w:color="auto" w:fill="C7EAFF" w:themeFill="accent4" w:themeFillTint="33"/>
      </w:tcPr>
    </w:tblStylePr>
  </w:style>
  <w:style w:type="table" w:styleId="ListTable2-Accent5">
    <w:name w:val="List Table 2 Accent 5"/>
    <w:basedOn w:val="TableNormal"/>
    <w:uiPriority w:val="47"/>
    <w:semiHidden/>
    <w:rsid w:val="007755BA"/>
    <w:pPr>
      <w:spacing w:line="240" w:lineRule="auto"/>
    </w:pPr>
    <w:tblPr>
      <w:tblStyleRowBandSize w:val="1"/>
      <w:tblStyleColBandSize w:val="1"/>
      <w:tblBorders>
        <w:top w:val="single" w:sz="4" w:space="0" w:color="5182E3" w:themeColor="accent5" w:themeTint="99"/>
        <w:bottom w:val="single" w:sz="4" w:space="0" w:color="5182E3" w:themeColor="accent5" w:themeTint="99"/>
        <w:insideH w:val="single" w:sz="4" w:space="0" w:color="5182E3"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table" w:styleId="ListTable2-Accent6">
    <w:name w:val="List Table 2 Accent 6"/>
    <w:basedOn w:val="TableNormal"/>
    <w:uiPriority w:val="47"/>
    <w:semiHidden/>
    <w:rsid w:val="007755BA"/>
    <w:pPr>
      <w:spacing w:line="240" w:lineRule="auto"/>
    </w:pPr>
    <w:tblPr>
      <w:tblStyleRowBandSize w:val="1"/>
      <w:tblStyleColBandSize w:val="1"/>
      <w:tblBorders>
        <w:top w:val="single" w:sz="4" w:space="0" w:color="36FFFD" w:themeColor="accent6" w:themeTint="99"/>
        <w:bottom w:val="single" w:sz="4" w:space="0" w:color="36FFFD" w:themeColor="accent6" w:themeTint="99"/>
        <w:insideH w:val="single" w:sz="4" w:space="0" w:color="36FFF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E" w:themeFill="accent6" w:themeFillTint="33"/>
      </w:tcPr>
    </w:tblStylePr>
    <w:tblStylePr w:type="band1Horz">
      <w:tblPr/>
      <w:tcPr>
        <w:shd w:val="clear" w:color="auto" w:fill="BCFFFE" w:themeFill="accent6" w:themeFillTint="33"/>
      </w:tcPr>
    </w:tblStylePr>
  </w:style>
  <w:style w:type="table" w:styleId="ListTable3">
    <w:name w:val="List Table 3"/>
    <w:basedOn w:val="TableNormal"/>
    <w:uiPriority w:val="48"/>
    <w:semiHidden/>
    <w:rsid w:val="007755BA"/>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755BA"/>
    <w:pPr>
      <w:spacing w:line="240" w:lineRule="auto"/>
    </w:pPr>
    <w:tblPr>
      <w:tblStyleRowBandSize w:val="1"/>
      <w:tblStyleColBandSize w:val="1"/>
      <w:tblBorders>
        <w:top w:val="single" w:sz="4" w:space="0" w:color="00B4EE" w:themeColor="accent1"/>
        <w:left w:val="single" w:sz="4" w:space="0" w:color="00B4EE" w:themeColor="accent1"/>
        <w:bottom w:val="single" w:sz="4" w:space="0" w:color="00B4EE" w:themeColor="accent1"/>
        <w:right w:val="single" w:sz="4" w:space="0" w:color="00B4EE" w:themeColor="accent1"/>
      </w:tblBorders>
    </w:tblPr>
    <w:tblStylePr w:type="firstRow">
      <w:rPr>
        <w:b/>
        <w:bCs/>
        <w:color w:val="FFFFFF" w:themeColor="background1"/>
      </w:rPr>
      <w:tblPr/>
      <w:tcPr>
        <w:shd w:val="clear" w:color="auto" w:fill="00B4EE" w:themeFill="accent1"/>
      </w:tcPr>
    </w:tblStylePr>
    <w:tblStylePr w:type="lastRow">
      <w:rPr>
        <w:b/>
        <w:bCs/>
      </w:rPr>
      <w:tblPr/>
      <w:tcPr>
        <w:tcBorders>
          <w:top w:val="double" w:sz="4" w:space="0" w:color="00B4E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4EE" w:themeColor="accent1"/>
          <w:right w:val="single" w:sz="4" w:space="0" w:color="00B4EE" w:themeColor="accent1"/>
        </w:tcBorders>
      </w:tcPr>
    </w:tblStylePr>
    <w:tblStylePr w:type="band1Horz">
      <w:tblPr/>
      <w:tcPr>
        <w:tcBorders>
          <w:top w:val="single" w:sz="4" w:space="0" w:color="00B4EE" w:themeColor="accent1"/>
          <w:bottom w:val="single" w:sz="4" w:space="0" w:color="00B4E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4EE" w:themeColor="accent1"/>
          <w:left w:val="nil"/>
        </w:tcBorders>
      </w:tcPr>
    </w:tblStylePr>
    <w:tblStylePr w:type="swCell">
      <w:tblPr/>
      <w:tcPr>
        <w:tcBorders>
          <w:top w:val="double" w:sz="4" w:space="0" w:color="00B4EE" w:themeColor="accent1"/>
          <w:right w:val="nil"/>
        </w:tcBorders>
      </w:tcPr>
    </w:tblStylePr>
  </w:style>
  <w:style w:type="table" w:styleId="ListTable3-Accent2">
    <w:name w:val="List Table 3 Accent 2"/>
    <w:basedOn w:val="TableNormal"/>
    <w:uiPriority w:val="48"/>
    <w:semiHidden/>
    <w:rsid w:val="007755BA"/>
    <w:pPr>
      <w:spacing w:line="240" w:lineRule="auto"/>
    </w:pPr>
    <w:tblPr>
      <w:tblStyleRowBandSize w:val="1"/>
      <w:tblStyleColBandSize w:val="1"/>
      <w:tblBorders>
        <w:top w:val="single" w:sz="4" w:space="0" w:color="006CCD" w:themeColor="accent2"/>
        <w:left w:val="single" w:sz="4" w:space="0" w:color="006CCD" w:themeColor="accent2"/>
        <w:bottom w:val="single" w:sz="4" w:space="0" w:color="006CCD" w:themeColor="accent2"/>
        <w:right w:val="single" w:sz="4" w:space="0" w:color="006CCD" w:themeColor="accent2"/>
      </w:tblBorders>
    </w:tblPr>
    <w:tblStylePr w:type="firstRow">
      <w:rPr>
        <w:b/>
        <w:bCs/>
        <w:color w:val="FFFFFF" w:themeColor="background1"/>
      </w:rPr>
      <w:tblPr/>
      <w:tcPr>
        <w:shd w:val="clear" w:color="auto" w:fill="006CCD" w:themeFill="accent2"/>
      </w:tcPr>
    </w:tblStylePr>
    <w:tblStylePr w:type="lastRow">
      <w:rPr>
        <w:b/>
        <w:bCs/>
      </w:rPr>
      <w:tblPr/>
      <w:tcPr>
        <w:tcBorders>
          <w:top w:val="double" w:sz="4" w:space="0" w:color="006CC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CCD" w:themeColor="accent2"/>
          <w:right w:val="single" w:sz="4" w:space="0" w:color="006CCD" w:themeColor="accent2"/>
        </w:tcBorders>
      </w:tcPr>
    </w:tblStylePr>
    <w:tblStylePr w:type="band1Horz">
      <w:tblPr/>
      <w:tcPr>
        <w:tcBorders>
          <w:top w:val="single" w:sz="4" w:space="0" w:color="006CCD" w:themeColor="accent2"/>
          <w:bottom w:val="single" w:sz="4" w:space="0" w:color="006CC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CCD" w:themeColor="accent2"/>
          <w:left w:val="nil"/>
        </w:tcBorders>
      </w:tcPr>
    </w:tblStylePr>
    <w:tblStylePr w:type="swCell">
      <w:tblPr/>
      <w:tcPr>
        <w:tcBorders>
          <w:top w:val="double" w:sz="4" w:space="0" w:color="006CCD" w:themeColor="accent2"/>
          <w:right w:val="nil"/>
        </w:tcBorders>
      </w:tcPr>
    </w:tblStylePr>
  </w:style>
  <w:style w:type="table" w:styleId="ListTable3-Accent3">
    <w:name w:val="List Table 3 Accent 3"/>
    <w:basedOn w:val="TableNormal"/>
    <w:uiPriority w:val="48"/>
    <w:semiHidden/>
    <w:rsid w:val="007755BA"/>
    <w:pPr>
      <w:spacing w:line="240" w:lineRule="auto"/>
    </w:pPr>
    <w:tblPr>
      <w:tblStyleRowBandSize w:val="1"/>
      <w:tblStyleColBandSize w:val="1"/>
      <w:tblBorders>
        <w:top w:val="single" w:sz="4" w:space="0" w:color="7ED2FF" w:themeColor="accent3"/>
        <w:left w:val="single" w:sz="4" w:space="0" w:color="7ED2FF" w:themeColor="accent3"/>
        <w:bottom w:val="single" w:sz="4" w:space="0" w:color="7ED2FF" w:themeColor="accent3"/>
        <w:right w:val="single" w:sz="4" w:space="0" w:color="7ED2FF" w:themeColor="accent3"/>
      </w:tblBorders>
    </w:tblPr>
    <w:tblStylePr w:type="firstRow">
      <w:rPr>
        <w:b/>
        <w:bCs/>
        <w:color w:val="FFFFFF" w:themeColor="background1"/>
      </w:rPr>
      <w:tblPr/>
      <w:tcPr>
        <w:shd w:val="clear" w:color="auto" w:fill="7ED2FF" w:themeFill="accent3"/>
      </w:tcPr>
    </w:tblStylePr>
    <w:tblStylePr w:type="lastRow">
      <w:rPr>
        <w:b/>
        <w:bCs/>
      </w:rPr>
      <w:tblPr/>
      <w:tcPr>
        <w:tcBorders>
          <w:top w:val="double" w:sz="4" w:space="0" w:color="7ED2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ED2FF" w:themeColor="accent3"/>
          <w:right w:val="single" w:sz="4" w:space="0" w:color="7ED2FF" w:themeColor="accent3"/>
        </w:tcBorders>
      </w:tcPr>
    </w:tblStylePr>
    <w:tblStylePr w:type="band1Horz">
      <w:tblPr/>
      <w:tcPr>
        <w:tcBorders>
          <w:top w:val="single" w:sz="4" w:space="0" w:color="7ED2FF" w:themeColor="accent3"/>
          <w:bottom w:val="single" w:sz="4" w:space="0" w:color="7ED2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ED2FF" w:themeColor="accent3"/>
          <w:left w:val="nil"/>
        </w:tcBorders>
      </w:tcPr>
    </w:tblStylePr>
    <w:tblStylePr w:type="swCell">
      <w:tblPr/>
      <w:tcPr>
        <w:tcBorders>
          <w:top w:val="double" w:sz="4" w:space="0" w:color="7ED2FF" w:themeColor="accent3"/>
          <w:right w:val="nil"/>
        </w:tcBorders>
      </w:tcPr>
    </w:tblStylePr>
  </w:style>
  <w:style w:type="table" w:styleId="ListTable3-Accent4">
    <w:name w:val="List Table 3 Accent 4"/>
    <w:basedOn w:val="TableNormal"/>
    <w:uiPriority w:val="48"/>
    <w:semiHidden/>
    <w:rsid w:val="007755BA"/>
    <w:pPr>
      <w:spacing w:line="240" w:lineRule="auto"/>
    </w:pPr>
    <w:tblPr>
      <w:tblStyleRowBandSize w:val="1"/>
      <w:tblStyleColBandSize w:val="1"/>
      <w:tblBorders>
        <w:top w:val="single" w:sz="4" w:space="0" w:color="0093EA" w:themeColor="accent4"/>
        <w:left w:val="single" w:sz="4" w:space="0" w:color="0093EA" w:themeColor="accent4"/>
        <w:bottom w:val="single" w:sz="4" w:space="0" w:color="0093EA" w:themeColor="accent4"/>
        <w:right w:val="single" w:sz="4" w:space="0" w:color="0093EA" w:themeColor="accent4"/>
      </w:tblBorders>
    </w:tblPr>
    <w:tblStylePr w:type="firstRow">
      <w:rPr>
        <w:b/>
        <w:bCs/>
        <w:color w:val="FFFFFF" w:themeColor="background1"/>
      </w:rPr>
      <w:tblPr/>
      <w:tcPr>
        <w:shd w:val="clear" w:color="auto" w:fill="0093EA" w:themeFill="accent4"/>
      </w:tcPr>
    </w:tblStylePr>
    <w:tblStylePr w:type="lastRow">
      <w:rPr>
        <w:b/>
        <w:bCs/>
      </w:rPr>
      <w:tblPr/>
      <w:tcPr>
        <w:tcBorders>
          <w:top w:val="double" w:sz="4" w:space="0" w:color="0093EA"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3EA" w:themeColor="accent4"/>
          <w:right w:val="single" w:sz="4" w:space="0" w:color="0093EA" w:themeColor="accent4"/>
        </w:tcBorders>
      </w:tcPr>
    </w:tblStylePr>
    <w:tblStylePr w:type="band1Horz">
      <w:tblPr/>
      <w:tcPr>
        <w:tcBorders>
          <w:top w:val="single" w:sz="4" w:space="0" w:color="0093EA" w:themeColor="accent4"/>
          <w:bottom w:val="single" w:sz="4" w:space="0" w:color="0093EA"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3EA" w:themeColor="accent4"/>
          <w:left w:val="nil"/>
        </w:tcBorders>
      </w:tcPr>
    </w:tblStylePr>
    <w:tblStylePr w:type="swCell">
      <w:tblPr/>
      <w:tcPr>
        <w:tcBorders>
          <w:top w:val="double" w:sz="4" w:space="0" w:color="0093EA" w:themeColor="accent4"/>
          <w:right w:val="nil"/>
        </w:tcBorders>
      </w:tcPr>
    </w:tblStylePr>
  </w:style>
  <w:style w:type="table" w:styleId="ListTable3-Accent5">
    <w:name w:val="List Table 3 Accent 5"/>
    <w:basedOn w:val="TableNormal"/>
    <w:uiPriority w:val="48"/>
    <w:semiHidden/>
    <w:rsid w:val="007755BA"/>
    <w:pPr>
      <w:spacing w:line="240" w:lineRule="auto"/>
    </w:pPr>
    <w:tblPr>
      <w:tblStyleRowBandSize w:val="1"/>
      <w:tblStyleColBandSize w:val="1"/>
      <w:tblBorders>
        <w:top w:val="single" w:sz="4" w:space="0" w:color="184398" w:themeColor="accent5"/>
        <w:left w:val="single" w:sz="4" w:space="0" w:color="184398" w:themeColor="accent5"/>
        <w:bottom w:val="single" w:sz="4" w:space="0" w:color="184398" w:themeColor="accent5"/>
        <w:right w:val="single" w:sz="4" w:space="0" w:color="184398" w:themeColor="accent5"/>
      </w:tblBorders>
    </w:tblPr>
    <w:tblStylePr w:type="firstRow">
      <w:rPr>
        <w:b/>
        <w:bCs/>
        <w:color w:val="FFFFFF" w:themeColor="background1"/>
      </w:rPr>
      <w:tblPr/>
      <w:tcPr>
        <w:shd w:val="clear" w:color="auto" w:fill="184398" w:themeFill="accent5"/>
      </w:tcPr>
    </w:tblStylePr>
    <w:tblStylePr w:type="lastRow">
      <w:rPr>
        <w:b/>
        <w:bCs/>
      </w:rPr>
      <w:tblPr/>
      <w:tcPr>
        <w:tcBorders>
          <w:top w:val="double" w:sz="4" w:space="0" w:color="184398"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84398" w:themeColor="accent5"/>
          <w:right w:val="single" w:sz="4" w:space="0" w:color="184398" w:themeColor="accent5"/>
        </w:tcBorders>
      </w:tcPr>
    </w:tblStylePr>
    <w:tblStylePr w:type="band1Horz">
      <w:tblPr/>
      <w:tcPr>
        <w:tcBorders>
          <w:top w:val="single" w:sz="4" w:space="0" w:color="184398" w:themeColor="accent5"/>
          <w:bottom w:val="single" w:sz="4" w:space="0" w:color="18439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84398" w:themeColor="accent5"/>
          <w:left w:val="nil"/>
        </w:tcBorders>
      </w:tcPr>
    </w:tblStylePr>
    <w:tblStylePr w:type="swCell">
      <w:tblPr/>
      <w:tcPr>
        <w:tcBorders>
          <w:top w:val="double" w:sz="4" w:space="0" w:color="184398" w:themeColor="accent5"/>
          <w:right w:val="nil"/>
        </w:tcBorders>
      </w:tcPr>
    </w:tblStylePr>
  </w:style>
  <w:style w:type="table" w:styleId="ListTable3-Accent6">
    <w:name w:val="List Table 3 Accent 6"/>
    <w:basedOn w:val="TableNormal"/>
    <w:uiPriority w:val="48"/>
    <w:semiHidden/>
    <w:rsid w:val="007755BA"/>
    <w:pPr>
      <w:spacing w:line="240" w:lineRule="auto"/>
    </w:pPr>
    <w:tblPr>
      <w:tblStyleRowBandSize w:val="1"/>
      <w:tblStyleColBandSize w:val="1"/>
      <w:tblBorders>
        <w:top w:val="single" w:sz="4" w:space="0" w:color="00AFAE" w:themeColor="accent6"/>
        <w:left w:val="single" w:sz="4" w:space="0" w:color="00AFAE" w:themeColor="accent6"/>
        <w:bottom w:val="single" w:sz="4" w:space="0" w:color="00AFAE" w:themeColor="accent6"/>
        <w:right w:val="single" w:sz="4" w:space="0" w:color="00AFAE" w:themeColor="accent6"/>
      </w:tblBorders>
    </w:tblPr>
    <w:tblStylePr w:type="firstRow">
      <w:rPr>
        <w:b/>
        <w:bCs/>
        <w:color w:val="FFFFFF" w:themeColor="background1"/>
      </w:rPr>
      <w:tblPr/>
      <w:tcPr>
        <w:shd w:val="clear" w:color="auto" w:fill="00AFAE" w:themeFill="accent6"/>
      </w:tcPr>
    </w:tblStylePr>
    <w:tblStylePr w:type="lastRow">
      <w:rPr>
        <w:b/>
        <w:bCs/>
      </w:rPr>
      <w:tblPr/>
      <w:tcPr>
        <w:tcBorders>
          <w:top w:val="double" w:sz="4" w:space="0" w:color="00AFA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FAE" w:themeColor="accent6"/>
          <w:right w:val="single" w:sz="4" w:space="0" w:color="00AFAE" w:themeColor="accent6"/>
        </w:tcBorders>
      </w:tcPr>
    </w:tblStylePr>
    <w:tblStylePr w:type="band1Horz">
      <w:tblPr/>
      <w:tcPr>
        <w:tcBorders>
          <w:top w:val="single" w:sz="4" w:space="0" w:color="00AFAE" w:themeColor="accent6"/>
          <w:bottom w:val="single" w:sz="4" w:space="0" w:color="00AFA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FAE" w:themeColor="accent6"/>
          <w:left w:val="nil"/>
        </w:tcBorders>
      </w:tcPr>
    </w:tblStylePr>
    <w:tblStylePr w:type="swCell">
      <w:tblPr/>
      <w:tcPr>
        <w:tcBorders>
          <w:top w:val="double" w:sz="4" w:space="0" w:color="00AFAE" w:themeColor="accent6"/>
          <w:right w:val="nil"/>
        </w:tcBorders>
      </w:tcPr>
    </w:tblStylePr>
  </w:style>
  <w:style w:type="table" w:styleId="ListTable4">
    <w:name w:val="List Table 4"/>
    <w:basedOn w:val="TableNormal"/>
    <w:uiPriority w:val="49"/>
    <w:semiHidden/>
    <w:rsid w:val="007755BA"/>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755BA"/>
    <w:pPr>
      <w:spacing w:line="240" w:lineRule="auto"/>
    </w:pPr>
    <w:tblPr>
      <w:tblStyleRowBandSize w:val="1"/>
      <w:tblStyleColBandSize w:val="1"/>
      <w:tblBorders>
        <w:top w:val="single" w:sz="4" w:space="0" w:color="5BD6FF" w:themeColor="accent1" w:themeTint="99"/>
        <w:left w:val="single" w:sz="4" w:space="0" w:color="5BD6FF" w:themeColor="accent1" w:themeTint="99"/>
        <w:bottom w:val="single" w:sz="4" w:space="0" w:color="5BD6FF" w:themeColor="accent1" w:themeTint="99"/>
        <w:right w:val="single" w:sz="4" w:space="0" w:color="5BD6FF" w:themeColor="accent1" w:themeTint="99"/>
        <w:insideH w:val="single" w:sz="4" w:space="0" w:color="5BD6FF" w:themeColor="accent1" w:themeTint="99"/>
      </w:tblBorders>
    </w:tblPr>
    <w:tblStylePr w:type="firstRow">
      <w:rPr>
        <w:b/>
        <w:bCs/>
        <w:color w:val="FFFFFF" w:themeColor="background1"/>
      </w:rPr>
      <w:tblPr/>
      <w:tcPr>
        <w:tcBorders>
          <w:top w:val="single" w:sz="4" w:space="0" w:color="00B4EE" w:themeColor="accent1"/>
          <w:left w:val="single" w:sz="4" w:space="0" w:color="00B4EE" w:themeColor="accent1"/>
          <w:bottom w:val="single" w:sz="4" w:space="0" w:color="00B4EE" w:themeColor="accent1"/>
          <w:right w:val="single" w:sz="4" w:space="0" w:color="00B4EE" w:themeColor="accent1"/>
          <w:insideH w:val="nil"/>
        </w:tcBorders>
        <w:shd w:val="clear" w:color="auto" w:fill="00B4EE" w:themeFill="accent1"/>
      </w:tcPr>
    </w:tblStylePr>
    <w:tblStylePr w:type="lastRow">
      <w:rPr>
        <w:b/>
        <w:bCs/>
      </w:rPr>
      <w:tblPr/>
      <w:tcPr>
        <w:tcBorders>
          <w:top w:val="double" w:sz="4" w:space="0" w:color="5BD6FF" w:themeColor="accent1" w:themeTint="99"/>
        </w:tcBorders>
      </w:tcPr>
    </w:tblStylePr>
    <w:tblStylePr w:type="firstCol">
      <w:rPr>
        <w:b/>
        <w:bCs/>
      </w:rPr>
    </w:tblStylePr>
    <w:tblStylePr w:type="lastCol">
      <w:rPr>
        <w:b/>
        <w:bCs/>
      </w:rPr>
    </w:tblStylePr>
    <w:tblStylePr w:type="band1Vert">
      <w:tblPr/>
      <w:tcPr>
        <w:shd w:val="clear" w:color="auto" w:fill="C8F1FF" w:themeFill="accent1" w:themeFillTint="33"/>
      </w:tcPr>
    </w:tblStylePr>
    <w:tblStylePr w:type="band1Horz">
      <w:tblPr/>
      <w:tcPr>
        <w:shd w:val="clear" w:color="auto" w:fill="C8F1FF" w:themeFill="accent1" w:themeFillTint="33"/>
      </w:tcPr>
    </w:tblStylePr>
  </w:style>
  <w:style w:type="table" w:styleId="ListTable4-Accent2">
    <w:name w:val="List Table 4 Accent 2"/>
    <w:basedOn w:val="TableNormal"/>
    <w:uiPriority w:val="49"/>
    <w:semiHidden/>
    <w:rsid w:val="007755BA"/>
    <w:pPr>
      <w:spacing w:line="240" w:lineRule="auto"/>
    </w:pPr>
    <w:tblPr>
      <w:tblStyleRowBandSize w:val="1"/>
      <w:tblStyleColBandSize w:val="1"/>
      <w:tblBorders>
        <w:top w:val="single" w:sz="4" w:space="0" w:color="48A8FF" w:themeColor="accent2" w:themeTint="99"/>
        <w:left w:val="single" w:sz="4" w:space="0" w:color="48A8FF" w:themeColor="accent2" w:themeTint="99"/>
        <w:bottom w:val="single" w:sz="4" w:space="0" w:color="48A8FF" w:themeColor="accent2" w:themeTint="99"/>
        <w:right w:val="single" w:sz="4" w:space="0" w:color="48A8FF" w:themeColor="accent2" w:themeTint="99"/>
        <w:insideH w:val="single" w:sz="4" w:space="0" w:color="48A8FF" w:themeColor="accent2" w:themeTint="99"/>
      </w:tblBorders>
    </w:tblPr>
    <w:tblStylePr w:type="firstRow">
      <w:rPr>
        <w:b/>
        <w:bCs/>
        <w:color w:val="FFFFFF" w:themeColor="background1"/>
      </w:rPr>
      <w:tblPr/>
      <w:tcPr>
        <w:tcBorders>
          <w:top w:val="single" w:sz="4" w:space="0" w:color="006CCD" w:themeColor="accent2"/>
          <w:left w:val="single" w:sz="4" w:space="0" w:color="006CCD" w:themeColor="accent2"/>
          <w:bottom w:val="single" w:sz="4" w:space="0" w:color="006CCD" w:themeColor="accent2"/>
          <w:right w:val="single" w:sz="4" w:space="0" w:color="006CCD" w:themeColor="accent2"/>
          <w:insideH w:val="nil"/>
        </w:tcBorders>
        <w:shd w:val="clear" w:color="auto" w:fill="006CCD" w:themeFill="accent2"/>
      </w:tcPr>
    </w:tblStylePr>
    <w:tblStylePr w:type="lastRow">
      <w:rPr>
        <w:b/>
        <w:bCs/>
      </w:rPr>
      <w:tblPr/>
      <w:tcPr>
        <w:tcBorders>
          <w:top w:val="double" w:sz="4" w:space="0" w:color="48A8FF" w:themeColor="accent2" w:themeTint="99"/>
        </w:tcBorders>
      </w:tcPr>
    </w:tblStylePr>
    <w:tblStylePr w:type="firstCol">
      <w:rPr>
        <w:b/>
        <w:bCs/>
      </w:rPr>
    </w:tblStylePr>
    <w:tblStylePr w:type="lastCol">
      <w:rPr>
        <w:b/>
        <w:bCs/>
      </w:rPr>
    </w:tblStylePr>
    <w:tblStylePr w:type="band1Vert">
      <w:tblPr/>
      <w:tcPr>
        <w:shd w:val="clear" w:color="auto" w:fill="C2E2FF" w:themeFill="accent2" w:themeFillTint="33"/>
      </w:tcPr>
    </w:tblStylePr>
    <w:tblStylePr w:type="band1Horz">
      <w:tblPr/>
      <w:tcPr>
        <w:shd w:val="clear" w:color="auto" w:fill="C2E2FF" w:themeFill="accent2" w:themeFillTint="33"/>
      </w:tcPr>
    </w:tblStylePr>
  </w:style>
  <w:style w:type="table" w:styleId="ListTable4-Accent3">
    <w:name w:val="List Table 4 Accent 3"/>
    <w:basedOn w:val="TableNormal"/>
    <w:uiPriority w:val="49"/>
    <w:semiHidden/>
    <w:rsid w:val="007755BA"/>
    <w:pPr>
      <w:spacing w:line="240" w:lineRule="auto"/>
    </w:pPr>
    <w:tblPr>
      <w:tblStyleRowBandSize w:val="1"/>
      <w:tblStyleColBandSize w:val="1"/>
      <w:tblBorders>
        <w:top w:val="single" w:sz="4" w:space="0" w:color="B1E3FF" w:themeColor="accent3" w:themeTint="99"/>
        <w:left w:val="single" w:sz="4" w:space="0" w:color="B1E3FF" w:themeColor="accent3" w:themeTint="99"/>
        <w:bottom w:val="single" w:sz="4" w:space="0" w:color="B1E3FF" w:themeColor="accent3" w:themeTint="99"/>
        <w:right w:val="single" w:sz="4" w:space="0" w:color="B1E3FF" w:themeColor="accent3" w:themeTint="99"/>
        <w:insideH w:val="single" w:sz="4" w:space="0" w:color="B1E3FF" w:themeColor="accent3" w:themeTint="99"/>
      </w:tblBorders>
    </w:tblPr>
    <w:tblStylePr w:type="firstRow">
      <w:rPr>
        <w:b/>
        <w:bCs/>
        <w:color w:val="FFFFFF" w:themeColor="background1"/>
      </w:rPr>
      <w:tblPr/>
      <w:tcPr>
        <w:tcBorders>
          <w:top w:val="single" w:sz="4" w:space="0" w:color="7ED2FF" w:themeColor="accent3"/>
          <w:left w:val="single" w:sz="4" w:space="0" w:color="7ED2FF" w:themeColor="accent3"/>
          <w:bottom w:val="single" w:sz="4" w:space="0" w:color="7ED2FF" w:themeColor="accent3"/>
          <w:right w:val="single" w:sz="4" w:space="0" w:color="7ED2FF" w:themeColor="accent3"/>
          <w:insideH w:val="nil"/>
        </w:tcBorders>
        <w:shd w:val="clear" w:color="auto" w:fill="7ED2FF" w:themeFill="accent3"/>
      </w:tcPr>
    </w:tblStylePr>
    <w:tblStylePr w:type="lastRow">
      <w:rPr>
        <w:b/>
        <w:bCs/>
      </w:rPr>
      <w:tblPr/>
      <w:tcPr>
        <w:tcBorders>
          <w:top w:val="double" w:sz="4" w:space="0" w:color="B1E3FF" w:themeColor="accent3" w:themeTint="99"/>
        </w:tcBorders>
      </w:tcPr>
    </w:tblStylePr>
    <w:tblStylePr w:type="firstCol">
      <w:rPr>
        <w:b/>
        <w:bCs/>
      </w:rPr>
    </w:tblStylePr>
    <w:tblStylePr w:type="lastCol">
      <w:rPr>
        <w:b/>
        <w:bCs/>
      </w:rPr>
    </w:tblStylePr>
    <w:tblStylePr w:type="band1Vert">
      <w:tblPr/>
      <w:tcPr>
        <w:shd w:val="clear" w:color="auto" w:fill="E5F5FF" w:themeFill="accent3" w:themeFillTint="33"/>
      </w:tcPr>
    </w:tblStylePr>
    <w:tblStylePr w:type="band1Horz">
      <w:tblPr/>
      <w:tcPr>
        <w:shd w:val="clear" w:color="auto" w:fill="E5F5FF" w:themeFill="accent3" w:themeFillTint="33"/>
      </w:tcPr>
    </w:tblStylePr>
  </w:style>
  <w:style w:type="table" w:styleId="ListTable4-Accent4">
    <w:name w:val="List Table 4 Accent 4"/>
    <w:basedOn w:val="TableNormal"/>
    <w:uiPriority w:val="49"/>
    <w:semiHidden/>
    <w:rsid w:val="007755BA"/>
    <w:pPr>
      <w:spacing w:line="240" w:lineRule="auto"/>
    </w:pPr>
    <w:tblPr>
      <w:tblStyleRowBandSize w:val="1"/>
      <w:tblStyleColBandSize w:val="1"/>
      <w:tblBorders>
        <w:top w:val="single" w:sz="4" w:space="0" w:color="59C1FF" w:themeColor="accent4" w:themeTint="99"/>
        <w:left w:val="single" w:sz="4" w:space="0" w:color="59C1FF" w:themeColor="accent4" w:themeTint="99"/>
        <w:bottom w:val="single" w:sz="4" w:space="0" w:color="59C1FF" w:themeColor="accent4" w:themeTint="99"/>
        <w:right w:val="single" w:sz="4" w:space="0" w:color="59C1FF" w:themeColor="accent4" w:themeTint="99"/>
        <w:insideH w:val="single" w:sz="4" w:space="0" w:color="59C1FF" w:themeColor="accent4" w:themeTint="99"/>
      </w:tblBorders>
    </w:tblPr>
    <w:tblStylePr w:type="firstRow">
      <w:rPr>
        <w:b/>
        <w:bCs/>
        <w:color w:val="FFFFFF" w:themeColor="background1"/>
      </w:rPr>
      <w:tblPr/>
      <w:tcPr>
        <w:tcBorders>
          <w:top w:val="single" w:sz="4" w:space="0" w:color="0093EA" w:themeColor="accent4"/>
          <w:left w:val="single" w:sz="4" w:space="0" w:color="0093EA" w:themeColor="accent4"/>
          <w:bottom w:val="single" w:sz="4" w:space="0" w:color="0093EA" w:themeColor="accent4"/>
          <w:right w:val="single" w:sz="4" w:space="0" w:color="0093EA" w:themeColor="accent4"/>
          <w:insideH w:val="nil"/>
        </w:tcBorders>
        <w:shd w:val="clear" w:color="auto" w:fill="0093EA" w:themeFill="accent4"/>
      </w:tcPr>
    </w:tblStylePr>
    <w:tblStylePr w:type="lastRow">
      <w:rPr>
        <w:b/>
        <w:bCs/>
      </w:rPr>
      <w:tblPr/>
      <w:tcPr>
        <w:tcBorders>
          <w:top w:val="double" w:sz="4" w:space="0" w:color="59C1FF" w:themeColor="accent4" w:themeTint="99"/>
        </w:tcBorders>
      </w:tcPr>
    </w:tblStylePr>
    <w:tblStylePr w:type="firstCol">
      <w:rPr>
        <w:b/>
        <w:bCs/>
      </w:rPr>
    </w:tblStylePr>
    <w:tblStylePr w:type="lastCol">
      <w:rPr>
        <w:b/>
        <w:bCs/>
      </w:rPr>
    </w:tblStylePr>
    <w:tblStylePr w:type="band1Vert">
      <w:tblPr/>
      <w:tcPr>
        <w:shd w:val="clear" w:color="auto" w:fill="C7EAFF" w:themeFill="accent4" w:themeFillTint="33"/>
      </w:tcPr>
    </w:tblStylePr>
    <w:tblStylePr w:type="band1Horz">
      <w:tblPr/>
      <w:tcPr>
        <w:shd w:val="clear" w:color="auto" w:fill="C7EAFF" w:themeFill="accent4" w:themeFillTint="33"/>
      </w:tcPr>
    </w:tblStylePr>
  </w:style>
  <w:style w:type="table" w:styleId="ListTable4-Accent5">
    <w:name w:val="List Table 4 Accent 5"/>
    <w:basedOn w:val="TableNormal"/>
    <w:uiPriority w:val="49"/>
    <w:semiHidden/>
    <w:rsid w:val="007755BA"/>
    <w:pPr>
      <w:spacing w:line="240" w:lineRule="auto"/>
    </w:pPr>
    <w:tblPr>
      <w:tblStyleRowBandSize w:val="1"/>
      <w:tblStyleColBandSize w:val="1"/>
      <w:tblBorders>
        <w:top w:val="single" w:sz="4" w:space="0" w:color="5182E3" w:themeColor="accent5" w:themeTint="99"/>
        <w:left w:val="single" w:sz="4" w:space="0" w:color="5182E3" w:themeColor="accent5" w:themeTint="99"/>
        <w:bottom w:val="single" w:sz="4" w:space="0" w:color="5182E3" w:themeColor="accent5" w:themeTint="99"/>
        <w:right w:val="single" w:sz="4" w:space="0" w:color="5182E3" w:themeColor="accent5" w:themeTint="99"/>
        <w:insideH w:val="single" w:sz="4" w:space="0" w:color="5182E3" w:themeColor="accent5" w:themeTint="99"/>
      </w:tblBorders>
    </w:tblPr>
    <w:tblStylePr w:type="firstRow">
      <w:rPr>
        <w:b/>
        <w:bCs/>
        <w:color w:val="FFFFFF" w:themeColor="background1"/>
      </w:rPr>
      <w:tblPr/>
      <w:tcPr>
        <w:tcBorders>
          <w:top w:val="single" w:sz="4" w:space="0" w:color="184398" w:themeColor="accent5"/>
          <w:left w:val="single" w:sz="4" w:space="0" w:color="184398" w:themeColor="accent5"/>
          <w:bottom w:val="single" w:sz="4" w:space="0" w:color="184398" w:themeColor="accent5"/>
          <w:right w:val="single" w:sz="4" w:space="0" w:color="184398" w:themeColor="accent5"/>
          <w:insideH w:val="nil"/>
        </w:tcBorders>
        <w:shd w:val="clear" w:color="auto" w:fill="184398" w:themeFill="accent5"/>
      </w:tcPr>
    </w:tblStylePr>
    <w:tblStylePr w:type="lastRow">
      <w:rPr>
        <w:b/>
        <w:bCs/>
      </w:rPr>
      <w:tblPr/>
      <w:tcPr>
        <w:tcBorders>
          <w:top w:val="double" w:sz="4" w:space="0" w:color="5182E3" w:themeColor="accent5" w:themeTint="99"/>
        </w:tcBorders>
      </w:tc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table" w:styleId="ListTable4-Accent6">
    <w:name w:val="List Table 4 Accent 6"/>
    <w:basedOn w:val="TableNormal"/>
    <w:uiPriority w:val="49"/>
    <w:semiHidden/>
    <w:rsid w:val="007755BA"/>
    <w:pPr>
      <w:spacing w:line="240" w:lineRule="auto"/>
    </w:pPr>
    <w:tblPr>
      <w:tblStyleRowBandSize w:val="1"/>
      <w:tblStyleColBandSize w:val="1"/>
      <w:tblBorders>
        <w:top w:val="single" w:sz="4" w:space="0" w:color="36FFFD" w:themeColor="accent6" w:themeTint="99"/>
        <w:left w:val="single" w:sz="4" w:space="0" w:color="36FFFD" w:themeColor="accent6" w:themeTint="99"/>
        <w:bottom w:val="single" w:sz="4" w:space="0" w:color="36FFFD" w:themeColor="accent6" w:themeTint="99"/>
        <w:right w:val="single" w:sz="4" w:space="0" w:color="36FFFD" w:themeColor="accent6" w:themeTint="99"/>
        <w:insideH w:val="single" w:sz="4" w:space="0" w:color="36FFFD" w:themeColor="accent6" w:themeTint="99"/>
      </w:tblBorders>
    </w:tblPr>
    <w:tblStylePr w:type="firstRow">
      <w:rPr>
        <w:b/>
        <w:bCs/>
        <w:color w:val="FFFFFF" w:themeColor="background1"/>
      </w:rPr>
      <w:tblPr/>
      <w:tcPr>
        <w:tcBorders>
          <w:top w:val="single" w:sz="4" w:space="0" w:color="00AFAE" w:themeColor="accent6"/>
          <w:left w:val="single" w:sz="4" w:space="0" w:color="00AFAE" w:themeColor="accent6"/>
          <w:bottom w:val="single" w:sz="4" w:space="0" w:color="00AFAE" w:themeColor="accent6"/>
          <w:right w:val="single" w:sz="4" w:space="0" w:color="00AFAE" w:themeColor="accent6"/>
          <w:insideH w:val="nil"/>
        </w:tcBorders>
        <w:shd w:val="clear" w:color="auto" w:fill="00AFAE" w:themeFill="accent6"/>
      </w:tcPr>
    </w:tblStylePr>
    <w:tblStylePr w:type="lastRow">
      <w:rPr>
        <w:b/>
        <w:bCs/>
      </w:rPr>
      <w:tblPr/>
      <w:tcPr>
        <w:tcBorders>
          <w:top w:val="double" w:sz="4" w:space="0" w:color="36FFFD" w:themeColor="accent6" w:themeTint="99"/>
        </w:tcBorders>
      </w:tcPr>
    </w:tblStylePr>
    <w:tblStylePr w:type="firstCol">
      <w:rPr>
        <w:b/>
        <w:bCs/>
      </w:rPr>
    </w:tblStylePr>
    <w:tblStylePr w:type="lastCol">
      <w:rPr>
        <w:b/>
        <w:bCs/>
      </w:rPr>
    </w:tblStylePr>
    <w:tblStylePr w:type="band1Vert">
      <w:tblPr/>
      <w:tcPr>
        <w:shd w:val="clear" w:color="auto" w:fill="BCFFFE" w:themeFill="accent6" w:themeFillTint="33"/>
      </w:tcPr>
    </w:tblStylePr>
    <w:tblStylePr w:type="band1Horz">
      <w:tblPr/>
      <w:tcPr>
        <w:shd w:val="clear" w:color="auto" w:fill="BCFFFE" w:themeFill="accent6" w:themeFillTint="33"/>
      </w:tcPr>
    </w:tblStylePr>
  </w:style>
  <w:style w:type="table" w:styleId="ListTable5Dark">
    <w:name w:val="List Table 5 Dark"/>
    <w:basedOn w:val="TableNormal"/>
    <w:uiPriority w:val="50"/>
    <w:semiHidden/>
    <w:rsid w:val="007755BA"/>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755BA"/>
    <w:pPr>
      <w:spacing w:line="240" w:lineRule="auto"/>
    </w:pPr>
    <w:rPr>
      <w:color w:val="FFFFFF" w:themeColor="background1"/>
    </w:rPr>
    <w:tblPr>
      <w:tblStyleRowBandSize w:val="1"/>
      <w:tblStyleColBandSize w:val="1"/>
      <w:tblBorders>
        <w:top w:val="single" w:sz="24" w:space="0" w:color="00B4EE" w:themeColor="accent1"/>
        <w:left w:val="single" w:sz="24" w:space="0" w:color="00B4EE" w:themeColor="accent1"/>
        <w:bottom w:val="single" w:sz="24" w:space="0" w:color="00B4EE" w:themeColor="accent1"/>
        <w:right w:val="single" w:sz="24" w:space="0" w:color="00B4EE" w:themeColor="accent1"/>
      </w:tblBorders>
    </w:tblPr>
    <w:tcPr>
      <w:shd w:val="clear" w:color="auto" w:fill="00B4E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755BA"/>
    <w:pPr>
      <w:spacing w:line="240" w:lineRule="auto"/>
    </w:pPr>
    <w:rPr>
      <w:color w:val="FFFFFF" w:themeColor="background1"/>
    </w:rPr>
    <w:tblPr>
      <w:tblStyleRowBandSize w:val="1"/>
      <w:tblStyleColBandSize w:val="1"/>
      <w:tblBorders>
        <w:top w:val="single" w:sz="24" w:space="0" w:color="006CCD" w:themeColor="accent2"/>
        <w:left w:val="single" w:sz="24" w:space="0" w:color="006CCD" w:themeColor="accent2"/>
        <w:bottom w:val="single" w:sz="24" w:space="0" w:color="006CCD" w:themeColor="accent2"/>
        <w:right w:val="single" w:sz="24" w:space="0" w:color="006CCD" w:themeColor="accent2"/>
      </w:tblBorders>
    </w:tblPr>
    <w:tcPr>
      <w:shd w:val="clear" w:color="auto" w:fill="006CC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755BA"/>
    <w:pPr>
      <w:spacing w:line="240" w:lineRule="auto"/>
    </w:pPr>
    <w:rPr>
      <w:color w:val="FFFFFF" w:themeColor="background1"/>
    </w:rPr>
    <w:tblPr>
      <w:tblStyleRowBandSize w:val="1"/>
      <w:tblStyleColBandSize w:val="1"/>
      <w:tblBorders>
        <w:top w:val="single" w:sz="24" w:space="0" w:color="7ED2FF" w:themeColor="accent3"/>
        <w:left w:val="single" w:sz="24" w:space="0" w:color="7ED2FF" w:themeColor="accent3"/>
        <w:bottom w:val="single" w:sz="24" w:space="0" w:color="7ED2FF" w:themeColor="accent3"/>
        <w:right w:val="single" w:sz="24" w:space="0" w:color="7ED2FF" w:themeColor="accent3"/>
      </w:tblBorders>
    </w:tblPr>
    <w:tcPr>
      <w:shd w:val="clear" w:color="auto" w:fill="7ED2F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755BA"/>
    <w:pPr>
      <w:spacing w:line="240" w:lineRule="auto"/>
    </w:pPr>
    <w:rPr>
      <w:color w:val="FFFFFF" w:themeColor="background1"/>
    </w:rPr>
    <w:tblPr>
      <w:tblStyleRowBandSize w:val="1"/>
      <w:tblStyleColBandSize w:val="1"/>
      <w:tblBorders>
        <w:top w:val="single" w:sz="24" w:space="0" w:color="0093EA" w:themeColor="accent4"/>
        <w:left w:val="single" w:sz="24" w:space="0" w:color="0093EA" w:themeColor="accent4"/>
        <w:bottom w:val="single" w:sz="24" w:space="0" w:color="0093EA" w:themeColor="accent4"/>
        <w:right w:val="single" w:sz="24" w:space="0" w:color="0093EA" w:themeColor="accent4"/>
      </w:tblBorders>
    </w:tblPr>
    <w:tcPr>
      <w:shd w:val="clear" w:color="auto" w:fill="0093EA"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755BA"/>
    <w:pPr>
      <w:spacing w:line="240" w:lineRule="auto"/>
    </w:pPr>
    <w:rPr>
      <w:color w:val="FFFFFF" w:themeColor="background1"/>
    </w:rPr>
    <w:tblPr>
      <w:tblStyleRowBandSize w:val="1"/>
      <w:tblStyleColBandSize w:val="1"/>
      <w:tblBorders>
        <w:top w:val="single" w:sz="24" w:space="0" w:color="184398" w:themeColor="accent5"/>
        <w:left w:val="single" w:sz="24" w:space="0" w:color="184398" w:themeColor="accent5"/>
        <w:bottom w:val="single" w:sz="24" w:space="0" w:color="184398" w:themeColor="accent5"/>
        <w:right w:val="single" w:sz="24" w:space="0" w:color="184398" w:themeColor="accent5"/>
      </w:tblBorders>
    </w:tblPr>
    <w:tcPr>
      <w:shd w:val="clear" w:color="auto" w:fill="18439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755BA"/>
    <w:pPr>
      <w:spacing w:line="240" w:lineRule="auto"/>
    </w:pPr>
    <w:rPr>
      <w:color w:val="FFFFFF" w:themeColor="background1"/>
    </w:rPr>
    <w:tblPr>
      <w:tblStyleRowBandSize w:val="1"/>
      <w:tblStyleColBandSize w:val="1"/>
      <w:tblBorders>
        <w:top w:val="single" w:sz="24" w:space="0" w:color="00AFAE" w:themeColor="accent6"/>
        <w:left w:val="single" w:sz="24" w:space="0" w:color="00AFAE" w:themeColor="accent6"/>
        <w:bottom w:val="single" w:sz="24" w:space="0" w:color="00AFAE" w:themeColor="accent6"/>
        <w:right w:val="single" w:sz="24" w:space="0" w:color="00AFAE" w:themeColor="accent6"/>
      </w:tblBorders>
    </w:tblPr>
    <w:tcPr>
      <w:shd w:val="clear" w:color="auto" w:fill="00AFA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755BA"/>
    <w:pPr>
      <w:spacing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755BA"/>
    <w:pPr>
      <w:spacing w:line="240" w:lineRule="auto"/>
    </w:pPr>
    <w:rPr>
      <w:color w:val="0086B2" w:themeColor="accent1" w:themeShade="BF"/>
    </w:rPr>
    <w:tblPr>
      <w:tblStyleRowBandSize w:val="1"/>
      <w:tblStyleColBandSize w:val="1"/>
      <w:tblBorders>
        <w:top w:val="single" w:sz="4" w:space="0" w:color="00B4EE" w:themeColor="accent1"/>
        <w:bottom w:val="single" w:sz="4" w:space="0" w:color="00B4EE" w:themeColor="accent1"/>
      </w:tblBorders>
    </w:tblPr>
    <w:tblStylePr w:type="firstRow">
      <w:rPr>
        <w:b/>
        <w:bCs/>
      </w:rPr>
      <w:tblPr/>
      <w:tcPr>
        <w:tcBorders>
          <w:bottom w:val="single" w:sz="4" w:space="0" w:color="00B4EE" w:themeColor="accent1"/>
        </w:tcBorders>
      </w:tcPr>
    </w:tblStylePr>
    <w:tblStylePr w:type="lastRow">
      <w:rPr>
        <w:b/>
        <w:bCs/>
      </w:rPr>
      <w:tblPr/>
      <w:tcPr>
        <w:tcBorders>
          <w:top w:val="double" w:sz="4" w:space="0" w:color="00B4EE" w:themeColor="accent1"/>
        </w:tcBorders>
      </w:tcPr>
    </w:tblStylePr>
    <w:tblStylePr w:type="firstCol">
      <w:rPr>
        <w:b/>
        <w:bCs/>
      </w:rPr>
    </w:tblStylePr>
    <w:tblStylePr w:type="lastCol">
      <w:rPr>
        <w:b/>
        <w:bCs/>
      </w:rPr>
    </w:tblStylePr>
    <w:tblStylePr w:type="band1Vert">
      <w:tblPr/>
      <w:tcPr>
        <w:shd w:val="clear" w:color="auto" w:fill="C8F1FF" w:themeFill="accent1" w:themeFillTint="33"/>
      </w:tcPr>
    </w:tblStylePr>
    <w:tblStylePr w:type="band1Horz">
      <w:tblPr/>
      <w:tcPr>
        <w:shd w:val="clear" w:color="auto" w:fill="C8F1FF" w:themeFill="accent1" w:themeFillTint="33"/>
      </w:tcPr>
    </w:tblStylePr>
  </w:style>
  <w:style w:type="table" w:styleId="ListTable6Colorful-Accent2">
    <w:name w:val="List Table 6 Colorful Accent 2"/>
    <w:basedOn w:val="TableNormal"/>
    <w:uiPriority w:val="51"/>
    <w:semiHidden/>
    <w:rsid w:val="007755BA"/>
    <w:pPr>
      <w:spacing w:line="240" w:lineRule="auto"/>
    </w:pPr>
    <w:rPr>
      <w:color w:val="005099" w:themeColor="accent2" w:themeShade="BF"/>
    </w:rPr>
    <w:tblPr>
      <w:tblStyleRowBandSize w:val="1"/>
      <w:tblStyleColBandSize w:val="1"/>
      <w:tblBorders>
        <w:top w:val="single" w:sz="4" w:space="0" w:color="006CCD" w:themeColor="accent2"/>
        <w:bottom w:val="single" w:sz="4" w:space="0" w:color="006CCD" w:themeColor="accent2"/>
      </w:tblBorders>
    </w:tblPr>
    <w:tblStylePr w:type="firstRow">
      <w:rPr>
        <w:b/>
        <w:bCs/>
      </w:rPr>
      <w:tblPr/>
      <w:tcPr>
        <w:tcBorders>
          <w:bottom w:val="single" w:sz="4" w:space="0" w:color="006CCD" w:themeColor="accent2"/>
        </w:tcBorders>
      </w:tcPr>
    </w:tblStylePr>
    <w:tblStylePr w:type="lastRow">
      <w:rPr>
        <w:b/>
        <w:bCs/>
      </w:rPr>
      <w:tblPr/>
      <w:tcPr>
        <w:tcBorders>
          <w:top w:val="double" w:sz="4" w:space="0" w:color="006CCD" w:themeColor="accent2"/>
        </w:tcBorders>
      </w:tcPr>
    </w:tblStylePr>
    <w:tblStylePr w:type="firstCol">
      <w:rPr>
        <w:b/>
        <w:bCs/>
      </w:rPr>
    </w:tblStylePr>
    <w:tblStylePr w:type="lastCol">
      <w:rPr>
        <w:b/>
        <w:bCs/>
      </w:rPr>
    </w:tblStylePr>
    <w:tblStylePr w:type="band1Vert">
      <w:tblPr/>
      <w:tcPr>
        <w:shd w:val="clear" w:color="auto" w:fill="C2E2FF" w:themeFill="accent2" w:themeFillTint="33"/>
      </w:tcPr>
    </w:tblStylePr>
    <w:tblStylePr w:type="band1Horz">
      <w:tblPr/>
      <w:tcPr>
        <w:shd w:val="clear" w:color="auto" w:fill="C2E2FF" w:themeFill="accent2" w:themeFillTint="33"/>
      </w:tcPr>
    </w:tblStylePr>
  </w:style>
  <w:style w:type="table" w:styleId="ListTable6Colorful-Accent3">
    <w:name w:val="List Table 6 Colorful Accent 3"/>
    <w:basedOn w:val="TableNormal"/>
    <w:uiPriority w:val="51"/>
    <w:semiHidden/>
    <w:rsid w:val="007755BA"/>
    <w:pPr>
      <w:spacing w:line="240" w:lineRule="auto"/>
    </w:pPr>
    <w:rPr>
      <w:color w:val="1EB0FF" w:themeColor="accent3" w:themeShade="BF"/>
    </w:rPr>
    <w:tblPr>
      <w:tblStyleRowBandSize w:val="1"/>
      <w:tblStyleColBandSize w:val="1"/>
      <w:tblBorders>
        <w:top w:val="single" w:sz="4" w:space="0" w:color="7ED2FF" w:themeColor="accent3"/>
        <w:bottom w:val="single" w:sz="4" w:space="0" w:color="7ED2FF" w:themeColor="accent3"/>
      </w:tblBorders>
    </w:tblPr>
    <w:tblStylePr w:type="firstRow">
      <w:rPr>
        <w:b/>
        <w:bCs/>
      </w:rPr>
      <w:tblPr/>
      <w:tcPr>
        <w:tcBorders>
          <w:bottom w:val="single" w:sz="4" w:space="0" w:color="7ED2FF" w:themeColor="accent3"/>
        </w:tcBorders>
      </w:tcPr>
    </w:tblStylePr>
    <w:tblStylePr w:type="lastRow">
      <w:rPr>
        <w:b/>
        <w:bCs/>
      </w:rPr>
      <w:tblPr/>
      <w:tcPr>
        <w:tcBorders>
          <w:top w:val="double" w:sz="4" w:space="0" w:color="7ED2FF" w:themeColor="accent3"/>
        </w:tcBorders>
      </w:tcPr>
    </w:tblStylePr>
    <w:tblStylePr w:type="firstCol">
      <w:rPr>
        <w:b/>
        <w:bCs/>
      </w:rPr>
    </w:tblStylePr>
    <w:tblStylePr w:type="lastCol">
      <w:rPr>
        <w:b/>
        <w:bCs/>
      </w:rPr>
    </w:tblStylePr>
    <w:tblStylePr w:type="band1Vert">
      <w:tblPr/>
      <w:tcPr>
        <w:shd w:val="clear" w:color="auto" w:fill="E5F5FF" w:themeFill="accent3" w:themeFillTint="33"/>
      </w:tcPr>
    </w:tblStylePr>
    <w:tblStylePr w:type="band1Horz">
      <w:tblPr/>
      <w:tcPr>
        <w:shd w:val="clear" w:color="auto" w:fill="E5F5FF" w:themeFill="accent3" w:themeFillTint="33"/>
      </w:tcPr>
    </w:tblStylePr>
  </w:style>
  <w:style w:type="table" w:styleId="ListTable6Colorful-Accent4">
    <w:name w:val="List Table 6 Colorful Accent 4"/>
    <w:basedOn w:val="TableNormal"/>
    <w:uiPriority w:val="51"/>
    <w:semiHidden/>
    <w:rsid w:val="007755BA"/>
    <w:pPr>
      <w:spacing w:line="240" w:lineRule="auto"/>
    </w:pPr>
    <w:rPr>
      <w:color w:val="006DAF" w:themeColor="accent4" w:themeShade="BF"/>
    </w:rPr>
    <w:tblPr>
      <w:tblStyleRowBandSize w:val="1"/>
      <w:tblStyleColBandSize w:val="1"/>
      <w:tblBorders>
        <w:top w:val="single" w:sz="4" w:space="0" w:color="0093EA" w:themeColor="accent4"/>
        <w:bottom w:val="single" w:sz="4" w:space="0" w:color="0093EA" w:themeColor="accent4"/>
      </w:tblBorders>
    </w:tblPr>
    <w:tblStylePr w:type="firstRow">
      <w:rPr>
        <w:b/>
        <w:bCs/>
      </w:rPr>
      <w:tblPr/>
      <w:tcPr>
        <w:tcBorders>
          <w:bottom w:val="single" w:sz="4" w:space="0" w:color="0093EA" w:themeColor="accent4"/>
        </w:tcBorders>
      </w:tcPr>
    </w:tblStylePr>
    <w:tblStylePr w:type="lastRow">
      <w:rPr>
        <w:b/>
        <w:bCs/>
      </w:rPr>
      <w:tblPr/>
      <w:tcPr>
        <w:tcBorders>
          <w:top w:val="double" w:sz="4" w:space="0" w:color="0093EA" w:themeColor="accent4"/>
        </w:tcBorders>
      </w:tcPr>
    </w:tblStylePr>
    <w:tblStylePr w:type="firstCol">
      <w:rPr>
        <w:b/>
        <w:bCs/>
      </w:rPr>
    </w:tblStylePr>
    <w:tblStylePr w:type="lastCol">
      <w:rPr>
        <w:b/>
        <w:bCs/>
      </w:rPr>
    </w:tblStylePr>
    <w:tblStylePr w:type="band1Vert">
      <w:tblPr/>
      <w:tcPr>
        <w:shd w:val="clear" w:color="auto" w:fill="C7EAFF" w:themeFill="accent4" w:themeFillTint="33"/>
      </w:tcPr>
    </w:tblStylePr>
    <w:tblStylePr w:type="band1Horz">
      <w:tblPr/>
      <w:tcPr>
        <w:shd w:val="clear" w:color="auto" w:fill="C7EAFF" w:themeFill="accent4" w:themeFillTint="33"/>
      </w:tcPr>
    </w:tblStylePr>
  </w:style>
  <w:style w:type="table" w:styleId="ListTable6Colorful-Accent5">
    <w:name w:val="List Table 6 Colorful Accent 5"/>
    <w:basedOn w:val="TableNormal"/>
    <w:uiPriority w:val="51"/>
    <w:semiHidden/>
    <w:rsid w:val="007755BA"/>
    <w:pPr>
      <w:spacing w:line="240" w:lineRule="auto"/>
    </w:pPr>
    <w:rPr>
      <w:color w:val="123171" w:themeColor="accent5" w:themeShade="BF"/>
    </w:rPr>
    <w:tblPr>
      <w:tblStyleRowBandSize w:val="1"/>
      <w:tblStyleColBandSize w:val="1"/>
      <w:tblBorders>
        <w:top w:val="single" w:sz="4" w:space="0" w:color="184398" w:themeColor="accent5"/>
        <w:bottom w:val="single" w:sz="4" w:space="0" w:color="184398" w:themeColor="accent5"/>
      </w:tblBorders>
    </w:tblPr>
    <w:tblStylePr w:type="firstRow">
      <w:rPr>
        <w:b/>
        <w:bCs/>
      </w:rPr>
      <w:tblPr/>
      <w:tcPr>
        <w:tcBorders>
          <w:bottom w:val="single" w:sz="4" w:space="0" w:color="184398" w:themeColor="accent5"/>
        </w:tcBorders>
      </w:tcPr>
    </w:tblStylePr>
    <w:tblStylePr w:type="lastRow">
      <w:rPr>
        <w:b/>
        <w:bCs/>
      </w:rPr>
      <w:tblPr/>
      <w:tcPr>
        <w:tcBorders>
          <w:top w:val="double" w:sz="4" w:space="0" w:color="184398" w:themeColor="accent5"/>
        </w:tcBorders>
      </w:tcPr>
    </w:tblStylePr>
    <w:tblStylePr w:type="firstCol">
      <w:rPr>
        <w:b/>
        <w:bCs/>
      </w:rPr>
    </w:tblStylePr>
    <w:tblStylePr w:type="lastCol">
      <w:rPr>
        <w:b/>
        <w:bCs/>
      </w:rPr>
    </w:tblStylePr>
    <w:tblStylePr w:type="band1Vert">
      <w:tblPr/>
      <w:tcPr>
        <w:shd w:val="clear" w:color="auto" w:fill="C5D5F6" w:themeFill="accent5" w:themeFillTint="33"/>
      </w:tcPr>
    </w:tblStylePr>
    <w:tblStylePr w:type="band1Horz">
      <w:tblPr/>
      <w:tcPr>
        <w:shd w:val="clear" w:color="auto" w:fill="C5D5F6" w:themeFill="accent5" w:themeFillTint="33"/>
      </w:tcPr>
    </w:tblStylePr>
  </w:style>
  <w:style w:type="table" w:styleId="ListTable6Colorful-Accent6">
    <w:name w:val="List Table 6 Colorful Accent 6"/>
    <w:basedOn w:val="TableNormal"/>
    <w:uiPriority w:val="51"/>
    <w:semiHidden/>
    <w:rsid w:val="007755BA"/>
    <w:pPr>
      <w:spacing w:line="240" w:lineRule="auto"/>
    </w:pPr>
    <w:rPr>
      <w:color w:val="008381" w:themeColor="accent6" w:themeShade="BF"/>
    </w:rPr>
    <w:tblPr>
      <w:tblStyleRowBandSize w:val="1"/>
      <w:tblStyleColBandSize w:val="1"/>
      <w:tblBorders>
        <w:top w:val="single" w:sz="4" w:space="0" w:color="00AFAE" w:themeColor="accent6"/>
        <w:bottom w:val="single" w:sz="4" w:space="0" w:color="00AFAE" w:themeColor="accent6"/>
      </w:tblBorders>
    </w:tblPr>
    <w:tblStylePr w:type="firstRow">
      <w:rPr>
        <w:b/>
        <w:bCs/>
      </w:rPr>
      <w:tblPr/>
      <w:tcPr>
        <w:tcBorders>
          <w:bottom w:val="single" w:sz="4" w:space="0" w:color="00AFAE" w:themeColor="accent6"/>
        </w:tcBorders>
      </w:tcPr>
    </w:tblStylePr>
    <w:tblStylePr w:type="lastRow">
      <w:rPr>
        <w:b/>
        <w:bCs/>
      </w:rPr>
      <w:tblPr/>
      <w:tcPr>
        <w:tcBorders>
          <w:top w:val="double" w:sz="4" w:space="0" w:color="00AFAE" w:themeColor="accent6"/>
        </w:tcBorders>
      </w:tcPr>
    </w:tblStylePr>
    <w:tblStylePr w:type="firstCol">
      <w:rPr>
        <w:b/>
        <w:bCs/>
      </w:rPr>
    </w:tblStylePr>
    <w:tblStylePr w:type="lastCol">
      <w:rPr>
        <w:b/>
        <w:bCs/>
      </w:rPr>
    </w:tblStylePr>
    <w:tblStylePr w:type="band1Vert">
      <w:tblPr/>
      <w:tcPr>
        <w:shd w:val="clear" w:color="auto" w:fill="BCFFFE" w:themeFill="accent6" w:themeFillTint="33"/>
      </w:tcPr>
    </w:tblStylePr>
    <w:tblStylePr w:type="band1Horz">
      <w:tblPr/>
      <w:tcPr>
        <w:shd w:val="clear" w:color="auto" w:fill="BCFFFE" w:themeFill="accent6" w:themeFillTint="33"/>
      </w:tcPr>
    </w:tblStylePr>
  </w:style>
  <w:style w:type="table" w:styleId="ListTable7Colorful">
    <w:name w:val="List Table 7 Colorful"/>
    <w:basedOn w:val="TableNormal"/>
    <w:uiPriority w:val="52"/>
    <w:semiHidden/>
    <w:rsid w:val="007755B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755BA"/>
    <w:pPr>
      <w:spacing w:line="240" w:lineRule="auto"/>
    </w:pPr>
    <w:rPr>
      <w:color w:val="0086B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4E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4E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4E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4EE" w:themeColor="accent1"/>
        </w:tcBorders>
        <w:shd w:val="clear" w:color="auto" w:fill="FFFFFF" w:themeFill="background1"/>
      </w:tcPr>
    </w:tblStylePr>
    <w:tblStylePr w:type="band1Vert">
      <w:tblPr/>
      <w:tcPr>
        <w:shd w:val="clear" w:color="auto" w:fill="C8F1FF" w:themeFill="accent1" w:themeFillTint="33"/>
      </w:tcPr>
    </w:tblStylePr>
    <w:tblStylePr w:type="band1Horz">
      <w:tblPr/>
      <w:tcPr>
        <w:shd w:val="clear" w:color="auto" w:fill="C8F1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755BA"/>
    <w:pPr>
      <w:spacing w:line="240" w:lineRule="auto"/>
    </w:pPr>
    <w:rPr>
      <w:color w:val="005099"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6CC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6CC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6CC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6CCD" w:themeColor="accent2"/>
        </w:tcBorders>
        <w:shd w:val="clear" w:color="auto" w:fill="FFFFFF" w:themeFill="background1"/>
      </w:tcPr>
    </w:tblStylePr>
    <w:tblStylePr w:type="band1Vert">
      <w:tblPr/>
      <w:tcPr>
        <w:shd w:val="clear" w:color="auto" w:fill="C2E2FF" w:themeFill="accent2" w:themeFillTint="33"/>
      </w:tcPr>
    </w:tblStylePr>
    <w:tblStylePr w:type="band1Horz">
      <w:tblPr/>
      <w:tcPr>
        <w:shd w:val="clear" w:color="auto" w:fill="C2E2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755BA"/>
    <w:pPr>
      <w:spacing w:line="240" w:lineRule="auto"/>
    </w:pPr>
    <w:rPr>
      <w:color w:val="1EB0F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ED2F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ED2F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ED2F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ED2FF" w:themeColor="accent3"/>
        </w:tcBorders>
        <w:shd w:val="clear" w:color="auto" w:fill="FFFFFF" w:themeFill="background1"/>
      </w:tcPr>
    </w:tblStylePr>
    <w:tblStylePr w:type="band1Vert">
      <w:tblPr/>
      <w:tcPr>
        <w:shd w:val="clear" w:color="auto" w:fill="E5F5FF" w:themeFill="accent3" w:themeFillTint="33"/>
      </w:tcPr>
    </w:tblStylePr>
    <w:tblStylePr w:type="band1Horz">
      <w:tblPr/>
      <w:tcPr>
        <w:shd w:val="clear" w:color="auto" w:fill="E5F5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755BA"/>
    <w:pPr>
      <w:spacing w:line="240" w:lineRule="auto"/>
    </w:pPr>
    <w:rPr>
      <w:color w:val="006DA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3EA"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3EA"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3EA"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3EA" w:themeColor="accent4"/>
        </w:tcBorders>
        <w:shd w:val="clear" w:color="auto" w:fill="FFFFFF" w:themeFill="background1"/>
      </w:tcPr>
    </w:tblStylePr>
    <w:tblStylePr w:type="band1Vert">
      <w:tblPr/>
      <w:tcPr>
        <w:shd w:val="clear" w:color="auto" w:fill="C7EAFF" w:themeFill="accent4" w:themeFillTint="33"/>
      </w:tcPr>
    </w:tblStylePr>
    <w:tblStylePr w:type="band1Horz">
      <w:tblPr/>
      <w:tcPr>
        <w:shd w:val="clear" w:color="auto" w:fill="C7EA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755BA"/>
    <w:pPr>
      <w:spacing w:line="240" w:lineRule="auto"/>
    </w:pPr>
    <w:rPr>
      <w:color w:val="12317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8439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8439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8439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84398" w:themeColor="accent5"/>
        </w:tcBorders>
        <w:shd w:val="clear" w:color="auto" w:fill="FFFFFF" w:themeFill="background1"/>
      </w:tcPr>
    </w:tblStylePr>
    <w:tblStylePr w:type="band1Vert">
      <w:tblPr/>
      <w:tcPr>
        <w:shd w:val="clear" w:color="auto" w:fill="C5D5F6" w:themeFill="accent5" w:themeFillTint="33"/>
      </w:tcPr>
    </w:tblStylePr>
    <w:tblStylePr w:type="band1Horz">
      <w:tblPr/>
      <w:tcPr>
        <w:shd w:val="clear" w:color="auto" w:fill="C5D5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755BA"/>
    <w:pPr>
      <w:spacing w:line="240" w:lineRule="auto"/>
    </w:pPr>
    <w:rPr>
      <w:color w:val="00838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AFA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AFA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AFA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AFAE" w:themeColor="accent6"/>
        </w:tcBorders>
        <w:shd w:val="clear" w:color="auto" w:fill="FFFFFF" w:themeFill="background1"/>
      </w:tcPr>
    </w:tblStylePr>
    <w:tblStylePr w:type="band1Vert">
      <w:tblPr/>
      <w:tcPr>
        <w:shd w:val="clear" w:color="auto" w:fill="BCFFFE" w:themeFill="accent6" w:themeFillTint="33"/>
      </w:tcPr>
    </w:tblStylePr>
    <w:tblStylePr w:type="band1Horz">
      <w:tblPr/>
      <w:tcPr>
        <w:shd w:val="clear" w:color="auto" w:fill="BCFFF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7755BA"/>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755BA"/>
    <w:pPr>
      <w:spacing w:line="240" w:lineRule="auto"/>
    </w:pPr>
    <w:tblPr>
      <w:tblStyleRowBandSize w:val="1"/>
      <w:tblStyleColBandSize w:val="1"/>
      <w:tblBorders>
        <w:top w:val="single" w:sz="8" w:space="0" w:color="33CCFF" w:themeColor="accent1" w:themeTint="BF"/>
        <w:left w:val="single" w:sz="8" w:space="0" w:color="33CCFF" w:themeColor="accent1" w:themeTint="BF"/>
        <w:bottom w:val="single" w:sz="8" w:space="0" w:color="33CCFF" w:themeColor="accent1" w:themeTint="BF"/>
        <w:right w:val="single" w:sz="8" w:space="0" w:color="33CCFF" w:themeColor="accent1" w:themeTint="BF"/>
        <w:insideH w:val="single" w:sz="8" w:space="0" w:color="33CCFF" w:themeColor="accent1" w:themeTint="BF"/>
        <w:insideV w:val="single" w:sz="8" w:space="0" w:color="33CCFF" w:themeColor="accent1" w:themeTint="BF"/>
      </w:tblBorders>
    </w:tblPr>
    <w:tcPr>
      <w:shd w:val="clear" w:color="auto" w:fill="BBEEFF" w:themeFill="accent1" w:themeFillTint="3F"/>
    </w:tcPr>
    <w:tblStylePr w:type="firstRow">
      <w:rPr>
        <w:b/>
        <w:bCs/>
      </w:rPr>
    </w:tblStylePr>
    <w:tblStylePr w:type="lastRow">
      <w:rPr>
        <w:b/>
        <w:bCs/>
      </w:rPr>
      <w:tblPr/>
      <w:tcPr>
        <w:tcBorders>
          <w:top w:val="single" w:sz="18" w:space="0" w:color="33CCFF" w:themeColor="accent1" w:themeTint="BF"/>
        </w:tcBorders>
      </w:tcPr>
    </w:tblStylePr>
    <w:tblStylePr w:type="firstCol">
      <w:rPr>
        <w:b/>
        <w:bCs/>
      </w:rPr>
    </w:tblStylePr>
    <w:tblStylePr w:type="lastCol">
      <w:rPr>
        <w:b/>
        <w:bCs/>
      </w:rPr>
    </w:tblStylePr>
    <w:tblStylePr w:type="band1Vert">
      <w:tblPr/>
      <w:tcPr>
        <w:shd w:val="clear" w:color="auto" w:fill="77DDFF" w:themeFill="accent1" w:themeFillTint="7F"/>
      </w:tcPr>
    </w:tblStylePr>
    <w:tblStylePr w:type="band1Horz">
      <w:tblPr/>
      <w:tcPr>
        <w:shd w:val="clear" w:color="auto" w:fill="77DDFF" w:themeFill="accent1" w:themeFillTint="7F"/>
      </w:tcPr>
    </w:tblStylePr>
  </w:style>
  <w:style w:type="table" w:styleId="MediumGrid1-Accent2">
    <w:name w:val="Medium Grid 1 Accent 2"/>
    <w:basedOn w:val="TableNormal"/>
    <w:uiPriority w:val="67"/>
    <w:semiHidden/>
    <w:rsid w:val="007755BA"/>
    <w:pPr>
      <w:spacing w:line="240" w:lineRule="auto"/>
    </w:pPr>
    <w:tblPr>
      <w:tblStyleRowBandSize w:val="1"/>
      <w:tblStyleColBandSize w:val="1"/>
      <w:tblBorders>
        <w:top w:val="single" w:sz="8" w:space="0" w:color="1A92FF" w:themeColor="accent2" w:themeTint="BF"/>
        <w:left w:val="single" w:sz="8" w:space="0" w:color="1A92FF" w:themeColor="accent2" w:themeTint="BF"/>
        <w:bottom w:val="single" w:sz="8" w:space="0" w:color="1A92FF" w:themeColor="accent2" w:themeTint="BF"/>
        <w:right w:val="single" w:sz="8" w:space="0" w:color="1A92FF" w:themeColor="accent2" w:themeTint="BF"/>
        <w:insideH w:val="single" w:sz="8" w:space="0" w:color="1A92FF" w:themeColor="accent2" w:themeTint="BF"/>
        <w:insideV w:val="single" w:sz="8" w:space="0" w:color="1A92FF" w:themeColor="accent2" w:themeTint="BF"/>
      </w:tblBorders>
    </w:tblPr>
    <w:tcPr>
      <w:shd w:val="clear" w:color="auto" w:fill="B3DBFF" w:themeFill="accent2" w:themeFillTint="3F"/>
    </w:tcPr>
    <w:tblStylePr w:type="firstRow">
      <w:rPr>
        <w:b/>
        <w:bCs/>
      </w:rPr>
    </w:tblStylePr>
    <w:tblStylePr w:type="lastRow">
      <w:rPr>
        <w:b/>
        <w:bCs/>
      </w:rPr>
      <w:tblPr/>
      <w:tcPr>
        <w:tcBorders>
          <w:top w:val="single" w:sz="18" w:space="0" w:color="1A92FF" w:themeColor="accent2" w:themeTint="BF"/>
        </w:tcBorders>
      </w:tcPr>
    </w:tblStylePr>
    <w:tblStylePr w:type="firstCol">
      <w:rPr>
        <w:b/>
        <w:bCs/>
      </w:rPr>
    </w:tblStylePr>
    <w:tblStylePr w:type="lastCol">
      <w:rPr>
        <w:b/>
        <w:bCs/>
      </w:rPr>
    </w:tblStylePr>
    <w:tblStylePr w:type="band1Vert">
      <w:tblPr/>
      <w:tcPr>
        <w:shd w:val="clear" w:color="auto" w:fill="67B6FF" w:themeFill="accent2" w:themeFillTint="7F"/>
      </w:tcPr>
    </w:tblStylePr>
    <w:tblStylePr w:type="band1Horz">
      <w:tblPr/>
      <w:tcPr>
        <w:shd w:val="clear" w:color="auto" w:fill="67B6FF" w:themeFill="accent2" w:themeFillTint="7F"/>
      </w:tcPr>
    </w:tblStylePr>
  </w:style>
  <w:style w:type="table" w:styleId="MediumGrid1-Accent3">
    <w:name w:val="Medium Grid 1 Accent 3"/>
    <w:basedOn w:val="TableNormal"/>
    <w:uiPriority w:val="67"/>
    <w:semiHidden/>
    <w:rsid w:val="007755BA"/>
    <w:pPr>
      <w:spacing w:line="240" w:lineRule="auto"/>
    </w:pPr>
    <w:tblPr>
      <w:tblStyleRowBandSize w:val="1"/>
      <w:tblStyleColBandSize w:val="1"/>
      <w:tblBorders>
        <w:top w:val="single" w:sz="8" w:space="0" w:color="9EDDFF" w:themeColor="accent3" w:themeTint="BF"/>
        <w:left w:val="single" w:sz="8" w:space="0" w:color="9EDDFF" w:themeColor="accent3" w:themeTint="BF"/>
        <w:bottom w:val="single" w:sz="8" w:space="0" w:color="9EDDFF" w:themeColor="accent3" w:themeTint="BF"/>
        <w:right w:val="single" w:sz="8" w:space="0" w:color="9EDDFF" w:themeColor="accent3" w:themeTint="BF"/>
        <w:insideH w:val="single" w:sz="8" w:space="0" w:color="9EDDFF" w:themeColor="accent3" w:themeTint="BF"/>
        <w:insideV w:val="single" w:sz="8" w:space="0" w:color="9EDDFF" w:themeColor="accent3" w:themeTint="BF"/>
      </w:tblBorders>
    </w:tblPr>
    <w:tcPr>
      <w:shd w:val="clear" w:color="auto" w:fill="DFF3FF" w:themeFill="accent3" w:themeFillTint="3F"/>
    </w:tcPr>
    <w:tblStylePr w:type="firstRow">
      <w:rPr>
        <w:b/>
        <w:bCs/>
      </w:rPr>
    </w:tblStylePr>
    <w:tblStylePr w:type="lastRow">
      <w:rPr>
        <w:b/>
        <w:bCs/>
      </w:rPr>
      <w:tblPr/>
      <w:tcPr>
        <w:tcBorders>
          <w:top w:val="single" w:sz="18" w:space="0" w:color="9EDDFF" w:themeColor="accent3" w:themeTint="BF"/>
        </w:tcBorders>
      </w:tcPr>
    </w:tblStylePr>
    <w:tblStylePr w:type="firstCol">
      <w:rPr>
        <w:b/>
        <w:bCs/>
      </w:rPr>
    </w:tblStylePr>
    <w:tblStylePr w:type="lastCol">
      <w:rPr>
        <w:b/>
        <w:bCs/>
      </w:rPr>
    </w:tblStylePr>
    <w:tblStylePr w:type="band1Vert">
      <w:tblPr/>
      <w:tcPr>
        <w:shd w:val="clear" w:color="auto" w:fill="BEE8FF" w:themeFill="accent3" w:themeFillTint="7F"/>
      </w:tcPr>
    </w:tblStylePr>
    <w:tblStylePr w:type="band1Horz">
      <w:tblPr/>
      <w:tcPr>
        <w:shd w:val="clear" w:color="auto" w:fill="BEE8FF" w:themeFill="accent3" w:themeFillTint="7F"/>
      </w:tcPr>
    </w:tblStylePr>
  </w:style>
  <w:style w:type="table" w:styleId="MediumGrid1-Accent4">
    <w:name w:val="Medium Grid 1 Accent 4"/>
    <w:basedOn w:val="TableNormal"/>
    <w:uiPriority w:val="67"/>
    <w:semiHidden/>
    <w:rsid w:val="007755BA"/>
    <w:pPr>
      <w:spacing w:line="240" w:lineRule="auto"/>
    </w:pPr>
    <w:tblPr>
      <w:tblStyleRowBandSize w:val="1"/>
      <w:tblStyleColBandSize w:val="1"/>
      <w:tblBorders>
        <w:top w:val="single" w:sz="8" w:space="0" w:color="30B1FF" w:themeColor="accent4" w:themeTint="BF"/>
        <w:left w:val="single" w:sz="8" w:space="0" w:color="30B1FF" w:themeColor="accent4" w:themeTint="BF"/>
        <w:bottom w:val="single" w:sz="8" w:space="0" w:color="30B1FF" w:themeColor="accent4" w:themeTint="BF"/>
        <w:right w:val="single" w:sz="8" w:space="0" w:color="30B1FF" w:themeColor="accent4" w:themeTint="BF"/>
        <w:insideH w:val="single" w:sz="8" w:space="0" w:color="30B1FF" w:themeColor="accent4" w:themeTint="BF"/>
        <w:insideV w:val="single" w:sz="8" w:space="0" w:color="30B1FF" w:themeColor="accent4" w:themeTint="BF"/>
      </w:tblBorders>
    </w:tblPr>
    <w:tcPr>
      <w:shd w:val="clear" w:color="auto" w:fill="BAE5FF" w:themeFill="accent4" w:themeFillTint="3F"/>
    </w:tcPr>
    <w:tblStylePr w:type="firstRow">
      <w:rPr>
        <w:b/>
        <w:bCs/>
      </w:rPr>
    </w:tblStylePr>
    <w:tblStylePr w:type="lastRow">
      <w:rPr>
        <w:b/>
        <w:bCs/>
      </w:rPr>
      <w:tblPr/>
      <w:tcPr>
        <w:tcBorders>
          <w:top w:val="single" w:sz="18" w:space="0" w:color="30B1FF" w:themeColor="accent4" w:themeTint="BF"/>
        </w:tcBorders>
      </w:tcPr>
    </w:tblStylePr>
    <w:tblStylePr w:type="firstCol">
      <w:rPr>
        <w:b/>
        <w:bCs/>
      </w:rPr>
    </w:tblStylePr>
    <w:tblStylePr w:type="lastCol">
      <w:rPr>
        <w:b/>
        <w:bCs/>
      </w:rPr>
    </w:tblStylePr>
    <w:tblStylePr w:type="band1Vert">
      <w:tblPr/>
      <w:tcPr>
        <w:shd w:val="clear" w:color="auto" w:fill="75CBFF" w:themeFill="accent4" w:themeFillTint="7F"/>
      </w:tcPr>
    </w:tblStylePr>
    <w:tblStylePr w:type="band1Horz">
      <w:tblPr/>
      <w:tcPr>
        <w:shd w:val="clear" w:color="auto" w:fill="75CBFF" w:themeFill="accent4" w:themeFillTint="7F"/>
      </w:tcPr>
    </w:tblStylePr>
  </w:style>
  <w:style w:type="table" w:styleId="MediumGrid1-Accent5">
    <w:name w:val="Medium Grid 1 Accent 5"/>
    <w:basedOn w:val="TableNormal"/>
    <w:uiPriority w:val="67"/>
    <w:semiHidden/>
    <w:rsid w:val="007755BA"/>
    <w:pPr>
      <w:spacing w:line="240" w:lineRule="auto"/>
    </w:pPr>
    <w:tblPr>
      <w:tblStyleRowBandSize w:val="1"/>
      <w:tblStyleColBandSize w:val="1"/>
      <w:tblBorders>
        <w:top w:val="single" w:sz="8" w:space="0" w:color="2663DC" w:themeColor="accent5" w:themeTint="BF"/>
        <w:left w:val="single" w:sz="8" w:space="0" w:color="2663DC" w:themeColor="accent5" w:themeTint="BF"/>
        <w:bottom w:val="single" w:sz="8" w:space="0" w:color="2663DC" w:themeColor="accent5" w:themeTint="BF"/>
        <w:right w:val="single" w:sz="8" w:space="0" w:color="2663DC" w:themeColor="accent5" w:themeTint="BF"/>
        <w:insideH w:val="single" w:sz="8" w:space="0" w:color="2663DC" w:themeColor="accent5" w:themeTint="BF"/>
        <w:insideV w:val="single" w:sz="8" w:space="0" w:color="2663DC" w:themeColor="accent5" w:themeTint="BF"/>
      </w:tblBorders>
    </w:tblPr>
    <w:tcPr>
      <w:shd w:val="clear" w:color="auto" w:fill="B7CBF3" w:themeFill="accent5" w:themeFillTint="3F"/>
    </w:tcPr>
    <w:tblStylePr w:type="firstRow">
      <w:rPr>
        <w:b/>
        <w:bCs/>
      </w:rPr>
    </w:tblStylePr>
    <w:tblStylePr w:type="lastRow">
      <w:rPr>
        <w:b/>
        <w:bCs/>
      </w:rPr>
      <w:tblPr/>
      <w:tcPr>
        <w:tcBorders>
          <w:top w:val="single" w:sz="18" w:space="0" w:color="2663DC" w:themeColor="accent5" w:themeTint="BF"/>
        </w:tcBorders>
      </w:tcPr>
    </w:tblStylePr>
    <w:tblStylePr w:type="firstCol">
      <w:rPr>
        <w:b/>
        <w:bCs/>
      </w:rPr>
    </w:tblStylePr>
    <w:tblStylePr w:type="lastCol">
      <w:rPr>
        <w:b/>
        <w:bCs/>
      </w:rPr>
    </w:tblStylePr>
    <w:tblStylePr w:type="band1Vert">
      <w:tblPr/>
      <w:tcPr>
        <w:shd w:val="clear" w:color="auto" w:fill="6F97E8" w:themeFill="accent5" w:themeFillTint="7F"/>
      </w:tcPr>
    </w:tblStylePr>
    <w:tblStylePr w:type="band1Horz">
      <w:tblPr/>
      <w:tcPr>
        <w:shd w:val="clear" w:color="auto" w:fill="6F97E8" w:themeFill="accent5" w:themeFillTint="7F"/>
      </w:tcPr>
    </w:tblStylePr>
  </w:style>
  <w:style w:type="table" w:styleId="MediumGrid1-Accent6">
    <w:name w:val="Medium Grid 1 Accent 6"/>
    <w:basedOn w:val="TableNormal"/>
    <w:uiPriority w:val="67"/>
    <w:semiHidden/>
    <w:rsid w:val="007755BA"/>
    <w:pPr>
      <w:spacing w:line="240" w:lineRule="auto"/>
    </w:pPr>
    <w:tblPr>
      <w:tblStyleRowBandSize w:val="1"/>
      <w:tblStyleColBandSize w:val="1"/>
      <w:tblBorders>
        <w:top w:val="single" w:sz="8" w:space="0" w:color="04FFFD" w:themeColor="accent6" w:themeTint="BF"/>
        <w:left w:val="single" w:sz="8" w:space="0" w:color="04FFFD" w:themeColor="accent6" w:themeTint="BF"/>
        <w:bottom w:val="single" w:sz="8" w:space="0" w:color="04FFFD" w:themeColor="accent6" w:themeTint="BF"/>
        <w:right w:val="single" w:sz="8" w:space="0" w:color="04FFFD" w:themeColor="accent6" w:themeTint="BF"/>
        <w:insideH w:val="single" w:sz="8" w:space="0" w:color="04FFFD" w:themeColor="accent6" w:themeTint="BF"/>
        <w:insideV w:val="single" w:sz="8" w:space="0" w:color="04FFFD" w:themeColor="accent6" w:themeTint="BF"/>
      </w:tblBorders>
    </w:tblPr>
    <w:tcPr>
      <w:shd w:val="clear" w:color="auto" w:fill="ACFFFE" w:themeFill="accent6" w:themeFillTint="3F"/>
    </w:tcPr>
    <w:tblStylePr w:type="firstRow">
      <w:rPr>
        <w:b/>
        <w:bCs/>
      </w:rPr>
    </w:tblStylePr>
    <w:tblStylePr w:type="lastRow">
      <w:rPr>
        <w:b/>
        <w:bCs/>
      </w:rPr>
      <w:tblPr/>
      <w:tcPr>
        <w:tcBorders>
          <w:top w:val="single" w:sz="18" w:space="0" w:color="04FFFD" w:themeColor="accent6" w:themeTint="BF"/>
        </w:tcBorders>
      </w:tcPr>
    </w:tblStylePr>
    <w:tblStylePr w:type="firstCol">
      <w:rPr>
        <w:b/>
        <w:bCs/>
      </w:rPr>
    </w:tblStylePr>
    <w:tblStylePr w:type="lastCol">
      <w:rPr>
        <w:b/>
        <w:bCs/>
      </w:rPr>
    </w:tblStylePr>
    <w:tblStylePr w:type="band1Vert">
      <w:tblPr/>
      <w:tcPr>
        <w:shd w:val="clear" w:color="auto" w:fill="58FFFD" w:themeFill="accent6" w:themeFillTint="7F"/>
      </w:tcPr>
    </w:tblStylePr>
    <w:tblStylePr w:type="band1Horz">
      <w:tblPr/>
      <w:tcPr>
        <w:shd w:val="clear" w:color="auto" w:fill="58FFFD" w:themeFill="accent6" w:themeFillTint="7F"/>
      </w:tcPr>
    </w:tblStylePr>
  </w:style>
  <w:style w:type="table" w:styleId="MediumGrid2">
    <w:name w:val="Medium Grid 2"/>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B4EE" w:themeColor="accent1"/>
        <w:left w:val="single" w:sz="8" w:space="0" w:color="00B4EE" w:themeColor="accent1"/>
        <w:bottom w:val="single" w:sz="8" w:space="0" w:color="00B4EE" w:themeColor="accent1"/>
        <w:right w:val="single" w:sz="8" w:space="0" w:color="00B4EE" w:themeColor="accent1"/>
        <w:insideH w:val="single" w:sz="8" w:space="0" w:color="00B4EE" w:themeColor="accent1"/>
        <w:insideV w:val="single" w:sz="8" w:space="0" w:color="00B4EE" w:themeColor="accent1"/>
      </w:tblBorders>
    </w:tblPr>
    <w:tcPr>
      <w:shd w:val="clear" w:color="auto" w:fill="BBEEFF" w:themeFill="accent1" w:themeFillTint="3F"/>
    </w:tcPr>
    <w:tblStylePr w:type="firstRow">
      <w:rPr>
        <w:b/>
        <w:bCs/>
        <w:color w:val="000000" w:themeColor="text1"/>
      </w:rPr>
      <w:tblPr/>
      <w:tcPr>
        <w:shd w:val="clear" w:color="auto" w:fill="E4F8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F1FF" w:themeFill="accent1" w:themeFillTint="33"/>
      </w:tcPr>
    </w:tblStylePr>
    <w:tblStylePr w:type="band1Vert">
      <w:tblPr/>
      <w:tcPr>
        <w:shd w:val="clear" w:color="auto" w:fill="77DDFF" w:themeFill="accent1" w:themeFillTint="7F"/>
      </w:tcPr>
    </w:tblStylePr>
    <w:tblStylePr w:type="band1Horz">
      <w:tblPr/>
      <w:tcPr>
        <w:tcBorders>
          <w:insideH w:val="single" w:sz="6" w:space="0" w:color="00B4EE" w:themeColor="accent1"/>
          <w:insideV w:val="single" w:sz="6" w:space="0" w:color="00B4EE" w:themeColor="accent1"/>
        </w:tcBorders>
        <w:shd w:val="clear" w:color="auto" w:fill="77D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6CCD" w:themeColor="accent2"/>
        <w:left w:val="single" w:sz="8" w:space="0" w:color="006CCD" w:themeColor="accent2"/>
        <w:bottom w:val="single" w:sz="8" w:space="0" w:color="006CCD" w:themeColor="accent2"/>
        <w:right w:val="single" w:sz="8" w:space="0" w:color="006CCD" w:themeColor="accent2"/>
        <w:insideH w:val="single" w:sz="8" w:space="0" w:color="006CCD" w:themeColor="accent2"/>
        <w:insideV w:val="single" w:sz="8" w:space="0" w:color="006CCD" w:themeColor="accent2"/>
      </w:tblBorders>
    </w:tblPr>
    <w:tcPr>
      <w:shd w:val="clear" w:color="auto" w:fill="B3DBFF" w:themeFill="accent2" w:themeFillTint="3F"/>
    </w:tcPr>
    <w:tblStylePr w:type="firstRow">
      <w:rPr>
        <w:b/>
        <w:bCs/>
        <w:color w:val="000000" w:themeColor="text1"/>
      </w:rPr>
      <w:tblPr/>
      <w:tcPr>
        <w:shd w:val="clear" w:color="auto" w:fill="E1F0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2FF" w:themeFill="accent2" w:themeFillTint="33"/>
      </w:tcPr>
    </w:tblStylePr>
    <w:tblStylePr w:type="band1Vert">
      <w:tblPr/>
      <w:tcPr>
        <w:shd w:val="clear" w:color="auto" w:fill="67B6FF" w:themeFill="accent2" w:themeFillTint="7F"/>
      </w:tcPr>
    </w:tblStylePr>
    <w:tblStylePr w:type="band1Horz">
      <w:tblPr/>
      <w:tcPr>
        <w:tcBorders>
          <w:insideH w:val="single" w:sz="6" w:space="0" w:color="006CCD" w:themeColor="accent2"/>
          <w:insideV w:val="single" w:sz="6" w:space="0" w:color="006CCD" w:themeColor="accent2"/>
        </w:tcBorders>
        <w:shd w:val="clear" w:color="auto" w:fill="67B6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7ED2FF" w:themeColor="accent3"/>
        <w:left w:val="single" w:sz="8" w:space="0" w:color="7ED2FF" w:themeColor="accent3"/>
        <w:bottom w:val="single" w:sz="8" w:space="0" w:color="7ED2FF" w:themeColor="accent3"/>
        <w:right w:val="single" w:sz="8" w:space="0" w:color="7ED2FF" w:themeColor="accent3"/>
        <w:insideH w:val="single" w:sz="8" w:space="0" w:color="7ED2FF" w:themeColor="accent3"/>
        <w:insideV w:val="single" w:sz="8" w:space="0" w:color="7ED2FF" w:themeColor="accent3"/>
      </w:tblBorders>
    </w:tblPr>
    <w:tcPr>
      <w:shd w:val="clear" w:color="auto" w:fill="DFF3FF" w:themeFill="accent3" w:themeFillTint="3F"/>
    </w:tcPr>
    <w:tblStylePr w:type="firstRow">
      <w:rPr>
        <w:b/>
        <w:bCs/>
        <w:color w:val="000000" w:themeColor="text1"/>
      </w:rPr>
      <w:tblPr/>
      <w:tcPr>
        <w:shd w:val="clear" w:color="auto" w:fill="F2FA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F5FF" w:themeFill="accent3" w:themeFillTint="33"/>
      </w:tcPr>
    </w:tblStylePr>
    <w:tblStylePr w:type="band1Vert">
      <w:tblPr/>
      <w:tcPr>
        <w:shd w:val="clear" w:color="auto" w:fill="BEE8FF" w:themeFill="accent3" w:themeFillTint="7F"/>
      </w:tcPr>
    </w:tblStylePr>
    <w:tblStylePr w:type="band1Horz">
      <w:tblPr/>
      <w:tcPr>
        <w:tcBorders>
          <w:insideH w:val="single" w:sz="6" w:space="0" w:color="7ED2FF" w:themeColor="accent3"/>
          <w:insideV w:val="single" w:sz="6" w:space="0" w:color="7ED2FF" w:themeColor="accent3"/>
        </w:tcBorders>
        <w:shd w:val="clear" w:color="auto" w:fill="BEE8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93EA" w:themeColor="accent4"/>
        <w:left w:val="single" w:sz="8" w:space="0" w:color="0093EA" w:themeColor="accent4"/>
        <w:bottom w:val="single" w:sz="8" w:space="0" w:color="0093EA" w:themeColor="accent4"/>
        <w:right w:val="single" w:sz="8" w:space="0" w:color="0093EA" w:themeColor="accent4"/>
        <w:insideH w:val="single" w:sz="8" w:space="0" w:color="0093EA" w:themeColor="accent4"/>
        <w:insideV w:val="single" w:sz="8" w:space="0" w:color="0093EA" w:themeColor="accent4"/>
      </w:tblBorders>
    </w:tblPr>
    <w:tcPr>
      <w:shd w:val="clear" w:color="auto" w:fill="BAE5FF" w:themeFill="accent4" w:themeFillTint="3F"/>
    </w:tcPr>
    <w:tblStylePr w:type="firstRow">
      <w:rPr>
        <w:b/>
        <w:bCs/>
        <w:color w:val="000000" w:themeColor="text1"/>
      </w:rPr>
      <w:tblPr/>
      <w:tcPr>
        <w:shd w:val="clear" w:color="auto" w:fill="E3F4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EAFF" w:themeFill="accent4" w:themeFillTint="33"/>
      </w:tcPr>
    </w:tblStylePr>
    <w:tblStylePr w:type="band1Vert">
      <w:tblPr/>
      <w:tcPr>
        <w:shd w:val="clear" w:color="auto" w:fill="75CBFF" w:themeFill="accent4" w:themeFillTint="7F"/>
      </w:tcPr>
    </w:tblStylePr>
    <w:tblStylePr w:type="band1Horz">
      <w:tblPr/>
      <w:tcPr>
        <w:tcBorders>
          <w:insideH w:val="single" w:sz="6" w:space="0" w:color="0093EA" w:themeColor="accent4"/>
          <w:insideV w:val="single" w:sz="6" w:space="0" w:color="0093EA" w:themeColor="accent4"/>
        </w:tcBorders>
        <w:shd w:val="clear" w:color="auto" w:fill="75CBF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184398" w:themeColor="accent5"/>
        <w:left w:val="single" w:sz="8" w:space="0" w:color="184398" w:themeColor="accent5"/>
        <w:bottom w:val="single" w:sz="8" w:space="0" w:color="184398" w:themeColor="accent5"/>
        <w:right w:val="single" w:sz="8" w:space="0" w:color="184398" w:themeColor="accent5"/>
        <w:insideH w:val="single" w:sz="8" w:space="0" w:color="184398" w:themeColor="accent5"/>
        <w:insideV w:val="single" w:sz="8" w:space="0" w:color="184398" w:themeColor="accent5"/>
      </w:tblBorders>
    </w:tblPr>
    <w:tcPr>
      <w:shd w:val="clear" w:color="auto" w:fill="B7CBF3" w:themeFill="accent5" w:themeFillTint="3F"/>
    </w:tcPr>
    <w:tblStylePr w:type="firstRow">
      <w:rPr>
        <w:b/>
        <w:bCs/>
        <w:color w:val="000000" w:themeColor="text1"/>
      </w:rPr>
      <w:tblPr/>
      <w:tcPr>
        <w:shd w:val="clear" w:color="auto" w:fill="E2EAFA"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5D5F6" w:themeFill="accent5" w:themeFillTint="33"/>
      </w:tcPr>
    </w:tblStylePr>
    <w:tblStylePr w:type="band1Vert">
      <w:tblPr/>
      <w:tcPr>
        <w:shd w:val="clear" w:color="auto" w:fill="6F97E8" w:themeFill="accent5" w:themeFillTint="7F"/>
      </w:tcPr>
    </w:tblStylePr>
    <w:tblStylePr w:type="band1Horz">
      <w:tblPr/>
      <w:tcPr>
        <w:tcBorders>
          <w:insideH w:val="single" w:sz="6" w:space="0" w:color="184398" w:themeColor="accent5"/>
          <w:insideV w:val="single" w:sz="6" w:space="0" w:color="184398" w:themeColor="accent5"/>
        </w:tcBorders>
        <w:shd w:val="clear" w:color="auto" w:fill="6F97E8"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AFAE" w:themeColor="accent6"/>
        <w:left w:val="single" w:sz="8" w:space="0" w:color="00AFAE" w:themeColor="accent6"/>
        <w:bottom w:val="single" w:sz="8" w:space="0" w:color="00AFAE" w:themeColor="accent6"/>
        <w:right w:val="single" w:sz="8" w:space="0" w:color="00AFAE" w:themeColor="accent6"/>
        <w:insideH w:val="single" w:sz="8" w:space="0" w:color="00AFAE" w:themeColor="accent6"/>
        <w:insideV w:val="single" w:sz="8" w:space="0" w:color="00AFAE" w:themeColor="accent6"/>
      </w:tblBorders>
    </w:tblPr>
    <w:tcPr>
      <w:shd w:val="clear" w:color="auto" w:fill="ACFFFE" w:themeFill="accent6" w:themeFillTint="3F"/>
    </w:tcPr>
    <w:tblStylePr w:type="firstRow">
      <w:rPr>
        <w:b/>
        <w:bCs/>
        <w:color w:val="000000" w:themeColor="text1"/>
      </w:rPr>
      <w:tblPr/>
      <w:tcPr>
        <w:shd w:val="clear" w:color="auto" w:fill="DEFFF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CFFFE" w:themeFill="accent6" w:themeFillTint="33"/>
      </w:tcPr>
    </w:tblStylePr>
    <w:tblStylePr w:type="band1Vert">
      <w:tblPr/>
      <w:tcPr>
        <w:shd w:val="clear" w:color="auto" w:fill="58FFFD" w:themeFill="accent6" w:themeFillTint="7F"/>
      </w:tcPr>
    </w:tblStylePr>
    <w:tblStylePr w:type="band1Horz">
      <w:tblPr/>
      <w:tcPr>
        <w:tcBorders>
          <w:insideH w:val="single" w:sz="6" w:space="0" w:color="00AFAE" w:themeColor="accent6"/>
          <w:insideV w:val="single" w:sz="6" w:space="0" w:color="00AFAE" w:themeColor="accent6"/>
        </w:tcBorders>
        <w:shd w:val="clear" w:color="auto" w:fill="58FFF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EE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4E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4E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4E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4E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D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DDFF" w:themeFill="accent1" w:themeFillTint="7F"/>
      </w:tcPr>
    </w:tblStylePr>
  </w:style>
  <w:style w:type="table" w:styleId="MediumGrid3-Accent2">
    <w:name w:val="Medium Grid 3 Accent 2"/>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DB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CC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CC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CC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CC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B6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B6FF" w:themeFill="accent2" w:themeFillTint="7F"/>
      </w:tcPr>
    </w:tblStylePr>
  </w:style>
  <w:style w:type="table" w:styleId="MediumGrid3-Accent3">
    <w:name w:val="Medium Grid 3 Accent 3"/>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F3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ED2F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ED2F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ED2F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ED2F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E8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E8FF" w:themeFill="accent3" w:themeFillTint="7F"/>
      </w:tcPr>
    </w:tblStylePr>
  </w:style>
  <w:style w:type="table" w:styleId="MediumGrid3-Accent4">
    <w:name w:val="Medium Grid 3 Accent 4"/>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E5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3EA"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3EA"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3EA"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3EA"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CB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CBFF" w:themeFill="accent4" w:themeFillTint="7F"/>
      </w:tcPr>
    </w:tblStylePr>
  </w:style>
  <w:style w:type="table" w:styleId="MediumGrid3-Accent5">
    <w:name w:val="Medium Grid 3 Accent 5"/>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7CBF3"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8439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8439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8439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8439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F97E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F97E8" w:themeFill="accent5" w:themeFillTint="7F"/>
      </w:tcPr>
    </w:tblStylePr>
  </w:style>
  <w:style w:type="table" w:styleId="MediumGrid3-Accent6">
    <w:name w:val="Medium Grid 3 Accent 6"/>
    <w:basedOn w:val="TableNormal"/>
    <w:uiPriority w:val="69"/>
    <w:semiHidden/>
    <w:rsid w:val="007755B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FA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FA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FA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FA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8FFF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8FFFD" w:themeFill="accent6" w:themeFillTint="7F"/>
      </w:tcPr>
    </w:tblStylePr>
  </w:style>
  <w:style w:type="table" w:styleId="MediumList1">
    <w:name w:val="Medium List 1"/>
    <w:basedOn w:val="TableNormal"/>
    <w:uiPriority w:val="65"/>
    <w:semiHidden/>
    <w:rsid w:val="007755BA"/>
    <w:pPr>
      <w:spacing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E6E7E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755BA"/>
    <w:pPr>
      <w:spacing w:line="240" w:lineRule="auto"/>
    </w:pPr>
    <w:tblPr>
      <w:tblStyleRowBandSize w:val="1"/>
      <w:tblStyleColBandSize w:val="1"/>
      <w:tblBorders>
        <w:top w:val="single" w:sz="8" w:space="0" w:color="00B4EE" w:themeColor="accent1"/>
        <w:bottom w:val="single" w:sz="8" w:space="0" w:color="00B4EE" w:themeColor="accent1"/>
      </w:tblBorders>
    </w:tblPr>
    <w:tblStylePr w:type="firstRow">
      <w:rPr>
        <w:rFonts w:asciiTheme="majorHAnsi" w:eastAsiaTheme="majorEastAsia" w:hAnsiTheme="majorHAnsi" w:cstheme="majorBidi"/>
      </w:rPr>
      <w:tblPr/>
      <w:tcPr>
        <w:tcBorders>
          <w:top w:val="nil"/>
          <w:bottom w:val="single" w:sz="8" w:space="0" w:color="00B4EE" w:themeColor="accent1"/>
        </w:tcBorders>
      </w:tcPr>
    </w:tblStylePr>
    <w:tblStylePr w:type="lastRow">
      <w:rPr>
        <w:b/>
        <w:bCs/>
        <w:color w:val="E6E7E8" w:themeColor="text2"/>
      </w:rPr>
      <w:tblPr/>
      <w:tcPr>
        <w:tcBorders>
          <w:top w:val="single" w:sz="8" w:space="0" w:color="00B4EE" w:themeColor="accent1"/>
          <w:bottom w:val="single" w:sz="8" w:space="0" w:color="00B4EE" w:themeColor="accent1"/>
        </w:tcBorders>
      </w:tcPr>
    </w:tblStylePr>
    <w:tblStylePr w:type="firstCol">
      <w:rPr>
        <w:b/>
        <w:bCs/>
      </w:rPr>
    </w:tblStylePr>
    <w:tblStylePr w:type="lastCol">
      <w:rPr>
        <w:b/>
        <w:bCs/>
      </w:rPr>
      <w:tblPr/>
      <w:tcPr>
        <w:tcBorders>
          <w:top w:val="single" w:sz="8" w:space="0" w:color="00B4EE" w:themeColor="accent1"/>
          <w:bottom w:val="single" w:sz="8" w:space="0" w:color="00B4EE" w:themeColor="accent1"/>
        </w:tcBorders>
      </w:tcPr>
    </w:tblStylePr>
    <w:tblStylePr w:type="band1Vert">
      <w:tblPr/>
      <w:tcPr>
        <w:shd w:val="clear" w:color="auto" w:fill="BBEEFF" w:themeFill="accent1" w:themeFillTint="3F"/>
      </w:tcPr>
    </w:tblStylePr>
    <w:tblStylePr w:type="band1Horz">
      <w:tblPr/>
      <w:tcPr>
        <w:shd w:val="clear" w:color="auto" w:fill="BBEEFF" w:themeFill="accent1" w:themeFillTint="3F"/>
      </w:tcPr>
    </w:tblStylePr>
  </w:style>
  <w:style w:type="table" w:styleId="MediumList1-Accent2">
    <w:name w:val="Medium List 1 Accent 2"/>
    <w:basedOn w:val="TableNormal"/>
    <w:uiPriority w:val="65"/>
    <w:semiHidden/>
    <w:rsid w:val="007755BA"/>
    <w:pPr>
      <w:spacing w:line="240" w:lineRule="auto"/>
    </w:pPr>
    <w:tblPr>
      <w:tblStyleRowBandSize w:val="1"/>
      <w:tblStyleColBandSize w:val="1"/>
      <w:tblBorders>
        <w:top w:val="single" w:sz="8" w:space="0" w:color="006CCD" w:themeColor="accent2"/>
        <w:bottom w:val="single" w:sz="8" w:space="0" w:color="006CCD" w:themeColor="accent2"/>
      </w:tblBorders>
    </w:tblPr>
    <w:tblStylePr w:type="firstRow">
      <w:rPr>
        <w:rFonts w:asciiTheme="majorHAnsi" w:eastAsiaTheme="majorEastAsia" w:hAnsiTheme="majorHAnsi" w:cstheme="majorBidi"/>
      </w:rPr>
      <w:tblPr/>
      <w:tcPr>
        <w:tcBorders>
          <w:top w:val="nil"/>
          <w:bottom w:val="single" w:sz="8" w:space="0" w:color="006CCD" w:themeColor="accent2"/>
        </w:tcBorders>
      </w:tcPr>
    </w:tblStylePr>
    <w:tblStylePr w:type="lastRow">
      <w:rPr>
        <w:b/>
        <w:bCs/>
        <w:color w:val="E6E7E8" w:themeColor="text2"/>
      </w:rPr>
      <w:tblPr/>
      <w:tcPr>
        <w:tcBorders>
          <w:top w:val="single" w:sz="8" w:space="0" w:color="006CCD" w:themeColor="accent2"/>
          <w:bottom w:val="single" w:sz="8" w:space="0" w:color="006CCD" w:themeColor="accent2"/>
        </w:tcBorders>
      </w:tcPr>
    </w:tblStylePr>
    <w:tblStylePr w:type="firstCol">
      <w:rPr>
        <w:b/>
        <w:bCs/>
      </w:rPr>
    </w:tblStylePr>
    <w:tblStylePr w:type="lastCol">
      <w:rPr>
        <w:b/>
        <w:bCs/>
      </w:rPr>
      <w:tblPr/>
      <w:tcPr>
        <w:tcBorders>
          <w:top w:val="single" w:sz="8" w:space="0" w:color="006CCD" w:themeColor="accent2"/>
          <w:bottom w:val="single" w:sz="8" w:space="0" w:color="006CCD" w:themeColor="accent2"/>
        </w:tcBorders>
      </w:tcPr>
    </w:tblStylePr>
    <w:tblStylePr w:type="band1Vert">
      <w:tblPr/>
      <w:tcPr>
        <w:shd w:val="clear" w:color="auto" w:fill="B3DBFF" w:themeFill="accent2" w:themeFillTint="3F"/>
      </w:tcPr>
    </w:tblStylePr>
    <w:tblStylePr w:type="band1Horz">
      <w:tblPr/>
      <w:tcPr>
        <w:shd w:val="clear" w:color="auto" w:fill="B3DBFF" w:themeFill="accent2" w:themeFillTint="3F"/>
      </w:tcPr>
    </w:tblStylePr>
  </w:style>
  <w:style w:type="table" w:styleId="MediumList1-Accent3">
    <w:name w:val="Medium List 1 Accent 3"/>
    <w:basedOn w:val="TableNormal"/>
    <w:uiPriority w:val="65"/>
    <w:semiHidden/>
    <w:rsid w:val="007755BA"/>
    <w:pPr>
      <w:spacing w:line="240" w:lineRule="auto"/>
    </w:pPr>
    <w:tblPr>
      <w:tblStyleRowBandSize w:val="1"/>
      <w:tblStyleColBandSize w:val="1"/>
      <w:tblBorders>
        <w:top w:val="single" w:sz="8" w:space="0" w:color="7ED2FF" w:themeColor="accent3"/>
        <w:bottom w:val="single" w:sz="8" w:space="0" w:color="7ED2FF" w:themeColor="accent3"/>
      </w:tblBorders>
    </w:tblPr>
    <w:tblStylePr w:type="firstRow">
      <w:rPr>
        <w:rFonts w:asciiTheme="majorHAnsi" w:eastAsiaTheme="majorEastAsia" w:hAnsiTheme="majorHAnsi" w:cstheme="majorBidi"/>
      </w:rPr>
      <w:tblPr/>
      <w:tcPr>
        <w:tcBorders>
          <w:top w:val="nil"/>
          <w:bottom w:val="single" w:sz="8" w:space="0" w:color="7ED2FF" w:themeColor="accent3"/>
        </w:tcBorders>
      </w:tcPr>
    </w:tblStylePr>
    <w:tblStylePr w:type="lastRow">
      <w:rPr>
        <w:b/>
        <w:bCs/>
        <w:color w:val="E6E7E8" w:themeColor="text2"/>
      </w:rPr>
      <w:tblPr/>
      <w:tcPr>
        <w:tcBorders>
          <w:top w:val="single" w:sz="8" w:space="0" w:color="7ED2FF" w:themeColor="accent3"/>
          <w:bottom w:val="single" w:sz="8" w:space="0" w:color="7ED2FF" w:themeColor="accent3"/>
        </w:tcBorders>
      </w:tcPr>
    </w:tblStylePr>
    <w:tblStylePr w:type="firstCol">
      <w:rPr>
        <w:b/>
        <w:bCs/>
      </w:rPr>
    </w:tblStylePr>
    <w:tblStylePr w:type="lastCol">
      <w:rPr>
        <w:b/>
        <w:bCs/>
      </w:rPr>
      <w:tblPr/>
      <w:tcPr>
        <w:tcBorders>
          <w:top w:val="single" w:sz="8" w:space="0" w:color="7ED2FF" w:themeColor="accent3"/>
          <w:bottom w:val="single" w:sz="8" w:space="0" w:color="7ED2FF" w:themeColor="accent3"/>
        </w:tcBorders>
      </w:tcPr>
    </w:tblStylePr>
    <w:tblStylePr w:type="band1Vert">
      <w:tblPr/>
      <w:tcPr>
        <w:shd w:val="clear" w:color="auto" w:fill="DFF3FF" w:themeFill="accent3" w:themeFillTint="3F"/>
      </w:tcPr>
    </w:tblStylePr>
    <w:tblStylePr w:type="band1Horz">
      <w:tblPr/>
      <w:tcPr>
        <w:shd w:val="clear" w:color="auto" w:fill="DFF3FF" w:themeFill="accent3" w:themeFillTint="3F"/>
      </w:tcPr>
    </w:tblStylePr>
  </w:style>
  <w:style w:type="table" w:styleId="MediumList1-Accent4">
    <w:name w:val="Medium List 1 Accent 4"/>
    <w:basedOn w:val="TableNormal"/>
    <w:uiPriority w:val="65"/>
    <w:semiHidden/>
    <w:rsid w:val="007755BA"/>
    <w:pPr>
      <w:spacing w:line="240" w:lineRule="auto"/>
    </w:pPr>
    <w:tblPr>
      <w:tblStyleRowBandSize w:val="1"/>
      <w:tblStyleColBandSize w:val="1"/>
      <w:tblBorders>
        <w:top w:val="single" w:sz="8" w:space="0" w:color="0093EA" w:themeColor="accent4"/>
        <w:bottom w:val="single" w:sz="8" w:space="0" w:color="0093EA" w:themeColor="accent4"/>
      </w:tblBorders>
    </w:tblPr>
    <w:tblStylePr w:type="firstRow">
      <w:rPr>
        <w:rFonts w:asciiTheme="majorHAnsi" w:eastAsiaTheme="majorEastAsia" w:hAnsiTheme="majorHAnsi" w:cstheme="majorBidi"/>
      </w:rPr>
      <w:tblPr/>
      <w:tcPr>
        <w:tcBorders>
          <w:top w:val="nil"/>
          <w:bottom w:val="single" w:sz="8" w:space="0" w:color="0093EA" w:themeColor="accent4"/>
        </w:tcBorders>
      </w:tcPr>
    </w:tblStylePr>
    <w:tblStylePr w:type="lastRow">
      <w:rPr>
        <w:b/>
        <w:bCs/>
        <w:color w:val="E6E7E8" w:themeColor="text2"/>
      </w:rPr>
      <w:tblPr/>
      <w:tcPr>
        <w:tcBorders>
          <w:top w:val="single" w:sz="8" w:space="0" w:color="0093EA" w:themeColor="accent4"/>
          <w:bottom w:val="single" w:sz="8" w:space="0" w:color="0093EA" w:themeColor="accent4"/>
        </w:tcBorders>
      </w:tcPr>
    </w:tblStylePr>
    <w:tblStylePr w:type="firstCol">
      <w:rPr>
        <w:b/>
        <w:bCs/>
      </w:rPr>
    </w:tblStylePr>
    <w:tblStylePr w:type="lastCol">
      <w:rPr>
        <w:b/>
        <w:bCs/>
      </w:rPr>
      <w:tblPr/>
      <w:tcPr>
        <w:tcBorders>
          <w:top w:val="single" w:sz="8" w:space="0" w:color="0093EA" w:themeColor="accent4"/>
          <w:bottom w:val="single" w:sz="8" w:space="0" w:color="0093EA" w:themeColor="accent4"/>
        </w:tcBorders>
      </w:tcPr>
    </w:tblStylePr>
    <w:tblStylePr w:type="band1Vert">
      <w:tblPr/>
      <w:tcPr>
        <w:shd w:val="clear" w:color="auto" w:fill="BAE5FF" w:themeFill="accent4" w:themeFillTint="3F"/>
      </w:tcPr>
    </w:tblStylePr>
    <w:tblStylePr w:type="band1Horz">
      <w:tblPr/>
      <w:tcPr>
        <w:shd w:val="clear" w:color="auto" w:fill="BAE5FF" w:themeFill="accent4" w:themeFillTint="3F"/>
      </w:tcPr>
    </w:tblStylePr>
  </w:style>
  <w:style w:type="table" w:styleId="MediumList1-Accent5">
    <w:name w:val="Medium List 1 Accent 5"/>
    <w:basedOn w:val="TableNormal"/>
    <w:uiPriority w:val="65"/>
    <w:semiHidden/>
    <w:rsid w:val="007755BA"/>
    <w:pPr>
      <w:spacing w:line="240" w:lineRule="auto"/>
    </w:pPr>
    <w:tblPr>
      <w:tblStyleRowBandSize w:val="1"/>
      <w:tblStyleColBandSize w:val="1"/>
      <w:tblBorders>
        <w:top w:val="single" w:sz="8" w:space="0" w:color="184398" w:themeColor="accent5"/>
        <w:bottom w:val="single" w:sz="8" w:space="0" w:color="184398" w:themeColor="accent5"/>
      </w:tblBorders>
    </w:tblPr>
    <w:tblStylePr w:type="firstRow">
      <w:rPr>
        <w:rFonts w:asciiTheme="majorHAnsi" w:eastAsiaTheme="majorEastAsia" w:hAnsiTheme="majorHAnsi" w:cstheme="majorBidi"/>
      </w:rPr>
      <w:tblPr/>
      <w:tcPr>
        <w:tcBorders>
          <w:top w:val="nil"/>
          <w:bottom w:val="single" w:sz="8" w:space="0" w:color="184398" w:themeColor="accent5"/>
        </w:tcBorders>
      </w:tcPr>
    </w:tblStylePr>
    <w:tblStylePr w:type="lastRow">
      <w:rPr>
        <w:b/>
        <w:bCs/>
        <w:color w:val="E6E7E8" w:themeColor="text2"/>
      </w:rPr>
      <w:tblPr/>
      <w:tcPr>
        <w:tcBorders>
          <w:top w:val="single" w:sz="8" w:space="0" w:color="184398" w:themeColor="accent5"/>
          <w:bottom w:val="single" w:sz="8" w:space="0" w:color="184398" w:themeColor="accent5"/>
        </w:tcBorders>
      </w:tcPr>
    </w:tblStylePr>
    <w:tblStylePr w:type="firstCol">
      <w:rPr>
        <w:b/>
        <w:bCs/>
      </w:rPr>
    </w:tblStylePr>
    <w:tblStylePr w:type="lastCol">
      <w:rPr>
        <w:b/>
        <w:bCs/>
      </w:rPr>
      <w:tblPr/>
      <w:tcPr>
        <w:tcBorders>
          <w:top w:val="single" w:sz="8" w:space="0" w:color="184398" w:themeColor="accent5"/>
          <w:bottom w:val="single" w:sz="8" w:space="0" w:color="184398" w:themeColor="accent5"/>
        </w:tcBorders>
      </w:tcPr>
    </w:tblStylePr>
    <w:tblStylePr w:type="band1Vert">
      <w:tblPr/>
      <w:tcPr>
        <w:shd w:val="clear" w:color="auto" w:fill="B7CBF3" w:themeFill="accent5" w:themeFillTint="3F"/>
      </w:tcPr>
    </w:tblStylePr>
    <w:tblStylePr w:type="band1Horz">
      <w:tblPr/>
      <w:tcPr>
        <w:shd w:val="clear" w:color="auto" w:fill="B7CBF3" w:themeFill="accent5" w:themeFillTint="3F"/>
      </w:tcPr>
    </w:tblStylePr>
  </w:style>
  <w:style w:type="table" w:styleId="MediumList1-Accent6">
    <w:name w:val="Medium List 1 Accent 6"/>
    <w:basedOn w:val="TableNormal"/>
    <w:uiPriority w:val="65"/>
    <w:semiHidden/>
    <w:rsid w:val="007755BA"/>
    <w:pPr>
      <w:spacing w:line="240" w:lineRule="auto"/>
    </w:pPr>
    <w:tblPr>
      <w:tblStyleRowBandSize w:val="1"/>
      <w:tblStyleColBandSize w:val="1"/>
      <w:tblBorders>
        <w:top w:val="single" w:sz="8" w:space="0" w:color="00AFAE" w:themeColor="accent6"/>
        <w:bottom w:val="single" w:sz="8" w:space="0" w:color="00AFAE" w:themeColor="accent6"/>
      </w:tblBorders>
    </w:tblPr>
    <w:tblStylePr w:type="firstRow">
      <w:rPr>
        <w:rFonts w:asciiTheme="majorHAnsi" w:eastAsiaTheme="majorEastAsia" w:hAnsiTheme="majorHAnsi" w:cstheme="majorBidi"/>
      </w:rPr>
      <w:tblPr/>
      <w:tcPr>
        <w:tcBorders>
          <w:top w:val="nil"/>
          <w:bottom w:val="single" w:sz="8" w:space="0" w:color="00AFAE" w:themeColor="accent6"/>
        </w:tcBorders>
      </w:tcPr>
    </w:tblStylePr>
    <w:tblStylePr w:type="lastRow">
      <w:rPr>
        <w:b/>
        <w:bCs/>
        <w:color w:val="E6E7E8" w:themeColor="text2"/>
      </w:rPr>
      <w:tblPr/>
      <w:tcPr>
        <w:tcBorders>
          <w:top w:val="single" w:sz="8" w:space="0" w:color="00AFAE" w:themeColor="accent6"/>
          <w:bottom w:val="single" w:sz="8" w:space="0" w:color="00AFAE" w:themeColor="accent6"/>
        </w:tcBorders>
      </w:tcPr>
    </w:tblStylePr>
    <w:tblStylePr w:type="firstCol">
      <w:rPr>
        <w:b/>
        <w:bCs/>
      </w:rPr>
    </w:tblStylePr>
    <w:tblStylePr w:type="lastCol">
      <w:rPr>
        <w:b/>
        <w:bCs/>
      </w:rPr>
      <w:tblPr/>
      <w:tcPr>
        <w:tcBorders>
          <w:top w:val="single" w:sz="8" w:space="0" w:color="00AFAE" w:themeColor="accent6"/>
          <w:bottom w:val="single" w:sz="8" w:space="0" w:color="00AFAE" w:themeColor="accent6"/>
        </w:tcBorders>
      </w:tcPr>
    </w:tblStylePr>
    <w:tblStylePr w:type="band1Vert">
      <w:tblPr/>
      <w:tcPr>
        <w:shd w:val="clear" w:color="auto" w:fill="ACFFFE" w:themeFill="accent6" w:themeFillTint="3F"/>
      </w:tcPr>
    </w:tblStylePr>
    <w:tblStylePr w:type="band1Horz">
      <w:tblPr/>
      <w:tcPr>
        <w:shd w:val="clear" w:color="auto" w:fill="ACFFFE" w:themeFill="accent6" w:themeFillTint="3F"/>
      </w:tcPr>
    </w:tblStylePr>
  </w:style>
  <w:style w:type="table" w:styleId="MediumList2">
    <w:name w:val="Medium List 2"/>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B4EE" w:themeColor="accent1"/>
        <w:left w:val="single" w:sz="8" w:space="0" w:color="00B4EE" w:themeColor="accent1"/>
        <w:bottom w:val="single" w:sz="8" w:space="0" w:color="00B4EE" w:themeColor="accent1"/>
        <w:right w:val="single" w:sz="8" w:space="0" w:color="00B4EE" w:themeColor="accent1"/>
      </w:tblBorders>
    </w:tblPr>
    <w:tblStylePr w:type="firstRow">
      <w:rPr>
        <w:sz w:val="24"/>
        <w:szCs w:val="24"/>
      </w:rPr>
      <w:tblPr/>
      <w:tcPr>
        <w:tcBorders>
          <w:top w:val="nil"/>
          <w:left w:val="nil"/>
          <w:bottom w:val="single" w:sz="24" w:space="0" w:color="00B4EE" w:themeColor="accent1"/>
          <w:right w:val="nil"/>
          <w:insideH w:val="nil"/>
          <w:insideV w:val="nil"/>
        </w:tcBorders>
        <w:shd w:val="clear" w:color="auto" w:fill="FFFFFF" w:themeFill="background1"/>
      </w:tcPr>
    </w:tblStylePr>
    <w:tblStylePr w:type="lastRow">
      <w:tblPr/>
      <w:tcPr>
        <w:tcBorders>
          <w:top w:val="single" w:sz="8" w:space="0" w:color="00B4E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4EE" w:themeColor="accent1"/>
          <w:insideH w:val="nil"/>
          <w:insideV w:val="nil"/>
        </w:tcBorders>
        <w:shd w:val="clear" w:color="auto" w:fill="FFFFFF" w:themeFill="background1"/>
      </w:tcPr>
    </w:tblStylePr>
    <w:tblStylePr w:type="lastCol">
      <w:tblPr/>
      <w:tcPr>
        <w:tcBorders>
          <w:top w:val="nil"/>
          <w:left w:val="single" w:sz="8" w:space="0" w:color="00B4E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EEFF" w:themeFill="accent1" w:themeFillTint="3F"/>
      </w:tcPr>
    </w:tblStylePr>
    <w:tblStylePr w:type="band1Horz">
      <w:tblPr/>
      <w:tcPr>
        <w:tcBorders>
          <w:top w:val="nil"/>
          <w:bottom w:val="nil"/>
          <w:insideH w:val="nil"/>
          <w:insideV w:val="nil"/>
        </w:tcBorders>
        <w:shd w:val="clear" w:color="auto" w:fill="BBEE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6CCD" w:themeColor="accent2"/>
        <w:left w:val="single" w:sz="8" w:space="0" w:color="006CCD" w:themeColor="accent2"/>
        <w:bottom w:val="single" w:sz="8" w:space="0" w:color="006CCD" w:themeColor="accent2"/>
        <w:right w:val="single" w:sz="8" w:space="0" w:color="006CCD" w:themeColor="accent2"/>
      </w:tblBorders>
    </w:tblPr>
    <w:tblStylePr w:type="firstRow">
      <w:rPr>
        <w:sz w:val="24"/>
        <w:szCs w:val="24"/>
      </w:rPr>
      <w:tblPr/>
      <w:tcPr>
        <w:tcBorders>
          <w:top w:val="nil"/>
          <w:left w:val="nil"/>
          <w:bottom w:val="single" w:sz="24" w:space="0" w:color="006CCD" w:themeColor="accent2"/>
          <w:right w:val="nil"/>
          <w:insideH w:val="nil"/>
          <w:insideV w:val="nil"/>
        </w:tcBorders>
        <w:shd w:val="clear" w:color="auto" w:fill="FFFFFF" w:themeFill="background1"/>
      </w:tcPr>
    </w:tblStylePr>
    <w:tblStylePr w:type="lastRow">
      <w:tblPr/>
      <w:tcPr>
        <w:tcBorders>
          <w:top w:val="single" w:sz="8" w:space="0" w:color="006CC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CCD" w:themeColor="accent2"/>
          <w:insideH w:val="nil"/>
          <w:insideV w:val="nil"/>
        </w:tcBorders>
        <w:shd w:val="clear" w:color="auto" w:fill="FFFFFF" w:themeFill="background1"/>
      </w:tcPr>
    </w:tblStylePr>
    <w:tblStylePr w:type="lastCol">
      <w:tblPr/>
      <w:tcPr>
        <w:tcBorders>
          <w:top w:val="nil"/>
          <w:left w:val="single" w:sz="8" w:space="0" w:color="006CC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BFF" w:themeFill="accent2" w:themeFillTint="3F"/>
      </w:tcPr>
    </w:tblStylePr>
    <w:tblStylePr w:type="band1Horz">
      <w:tblPr/>
      <w:tcPr>
        <w:tcBorders>
          <w:top w:val="nil"/>
          <w:bottom w:val="nil"/>
          <w:insideH w:val="nil"/>
          <w:insideV w:val="nil"/>
        </w:tcBorders>
        <w:shd w:val="clear" w:color="auto" w:fill="B3DB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7ED2FF" w:themeColor="accent3"/>
        <w:left w:val="single" w:sz="8" w:space="0" w:color="7ED2FF" w:themeColor="accent3"/>
        <w:bottom w:val="single" w:sz="8" w:space="0" w:color="7ED2FF" w:themeColor="accent3"/>
        <w:right w:val="single" w:sz="8" w:space="0" w:color="7ED2FF" w:themeColor="accent3"/>
      </w:tblBorders>
    </w:tblPr>
    <w:tblStylePr w:type="firstRow">
      <w:rPr>
        <w:sz w:val="24"/>
        <w:szCs w:val="24"/>
      </w:rPr>
      <w:tblPr/>
      <w:tcPr>
        <w:tcBorders>
          <w:top w:val="nil"/>
          <w:left w:val="nil"/>
          <w:bottom w:val="single" w:sz="24" w:space="0" w:color="7ED2FF" w:themeColor="accent3"/>
          <w:right w:val="nil"/>
          <w:insideH w:val="nil"/>
          <w:insideV w:val="nil"/>
        </w:tcBorders>
        <w:shd w:val="clear" w:color="auto" w:fill="FFFFFF" w:themeFill="background1"/>
      </w:tcPr>
    </w:tblStylePr>
    <w:tblStylePr w:type="lastRow">
      <w:tblPr/>
      <w:tcPr>
        <w:tcBorders>
          <w:top w:val="single" w:sz="8" w:space="0" w:color="7ED2F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ED2FF" w:themeColor="accent3"/>
          <w:insideH w:val="nil"/>
          <w:insideV w:val="nil"/>
        </w:tcBorders>
        <w:shd w:val="clear" w:color="auto" w:fill="FFFFFF" w:themeFill="background1"/>
      </w:tcPr>
    </w:tblStylePr>
    <w:tblStylePr w:type="lastCol">
      <w:tblPr/>
      <w:tcPr>
        <w:tcBorders>
          <w:top w:val="nil"/>
          <w:left w:val="single" w:sz="8" w:space="0" w:color="7ED2F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F3FF" w:themeFill="accent3" w:themeFillTint="3F"/>
      </w:tcPr>
    </w:tblStylePr>
    <w:tblStylePr w:type="band1Horz">
      <w:tblPr/>
      <w:tcPr>
        <w:tcBorders>
          <w:top w:val="nil"/>
          <w:bottom w:val="nil"/>
          <w:insideH w:val="nil"/>
          <w:insideV w:val="nil"/>
        </w:tcBorders>
        <w:shd w:val="clear" w:color="auto" w:fill="DFF3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93EA" w:themeColor="accent4"/>
        <w:left w:val="single" w:sz="8" w:space="0" w:color="0093EA" w:themeColor="accent4"/>
        <w:bottom w:val="single" w:sz="8" w:space="0" w:color="0093EA" w:themeColor="accent4"/>
        <w:right w:val="single" w:sz="8" w:space="0" w:color="0093EA" w:themeColor="accent4"/>
      </w:tblBorders>
    </w:tblPr>
    <w:tblStylePr w:type="firstRow">
      <w:rPr>
        <w:sz w:val="24"/>
        <w:szCs w:val="24"/>
      </w:rPr>
      <w:tblPr/>
      <w:tcPr>
        <w:tcBorders>
          <w:top w:val="nil"/>
          <w:left w:val="nil"/>
          <w:bottom w:val="single" w:sz="24" w:space="0" w:color="0093EA" w:themeColor="accent4"/>
          <w:right w:val="nil"/>
          <w:insideH w:val="nil"/>
          <w:insideV w:val="nil"/>
        </w:tcBorders>
        <w:shd w:val="clear" w:color="auto" w:fill="FFFFFF" w:themeFill="background1"/>
      </w:tcPr>
    </w:tblStylePr>
    <w:tblStylePr w:type="lastRow">
      <w:tblPr/>
      <w:tcPr>
        <w:tcBorders>
          <w:top w:val="single" w:sz="8" w:space="0" w:color="0093EA"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3EA" w:themeColor="accent4"/>
          <w:insideH w:val="nil"/>
          <w:insideV w:val="nil"/>
        </w:tcBorders>
        <w:shd w:val="clear" w:color="auto" w:fill="FFFFFF" w:themeFill="background1"/>
      </w:tcPr>
    </w:tblStylePr>
    <w:tblStylePr w:type="lastCol">
      <w:tblPr/>
      <w:tcPr>
        <w:tcBorders>
          <w:top w:val="nil"/>
          <w:left w:val="single" w:sz="8" w:space="0" w:color="0093EA"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E5FF" w:themeFill="accent4" w:themeFillTint="3F"/>
      </w:tcPr>
    </w:tblStylePr>
    <w:tblStylePr w:type="band1Horz">
      <w:tblPr/>
      <w:tcPr>
        <w:tcBorders>
          <w:top w:val="nil"/>
          <w:bottom w:val="nil"/>
          <w:insideH w:val="nil"/>
          <w:insideV w:val="nil"/>
        </w:tcBorders>
        <w:shd w:val="clear" w:color="auto" w:fill="BAE5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184398" w:themeColor="accent5"/>
        <w:left w:val="single" w:sz="8" w:space="0" w:color="184398" w:themeColor="accent5"/>
        <w:bottom w:val="single" w:sz="8" w:space="0" w:color="184398" w:themeColor="accent5"/>
        <w:right w:val="single" w:sz="8" w:space="0" w:color="184398" w:themeColor="accent5"/>
      </w:tblBorders>
    </w:tblPr>
    <w:tblStylePr w:type="firstRow">
      <w:rPr>
        <w:sz w:val="24"/>
        <w:szCs w:val="24"/>
      </w:rPr>
      <w:tblPr/>
      <w:tcPr>
        <w:tcBorders>
          <w:top w:val="nil"/>
          <w:left w:val="nil"/>
          <w:bottom w:val="single" w:sz="24" w:space="0" w:color="184398" w:themeColor="accent5"/>
          <w:right w:val="nil"/>
          <w:insideH w:val="nil"/>
          <w:insideV w:val="nil"/>
        </w:tcBorders>
        <w:shd w:val="clear" w:color="auto" w:fill="FFFFFF" w:themeFill="background1"/>
      </w:tcPr>
    </w:tblStylePr>
    <w:tblStylePr w:type="lastRow">
      <w:tblPr/>
      <w:tcPr>
        <w:tcBorders>
          <w:top w:val="single" w:sz="8" w:space="0" w:color="18439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84398" w:themeColor="accent5"/>
          <w:insideH w:val="nil"/>
          <w:insideV w:val="nil"/>
        </w:tcBorders>
        <w:shd w:val="clear" w:color="auto" w:fill="FFFFFF" w:themeFill="background1"/>
      </w:tcPr>
    </w:tblStylePr>
    <w:tblStylePr w:type="lastCol">
      <w:tblPr/>
      <w:tcPr>
        <w:tcBorders>
          <w:top w:val="nil"/>
          <w:left w:val="single" w:sz="8" w:space="0" w:color="18439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CBF3" w:themeFill="accent5" w:themeFillTint="3F"/>
      </w:tcPr>
    </w:tblStylePr>
    <w:tblStylePr w:type="band1Horz">
      <w:tblPr/>
      <w:tcPr>
        <w:tcBorders>
          <w:top w:val="nil"/>
          <w:bottom w:val="nil"/>
          <w:insideH w:val="nil"/>
          <w:insideV w:val="nil"/>
        </w:tcBorders>
        <w:shd w:val="clear" w:color="auto" w:fill="B7CBF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755BA"/>
    <w:pPr>
      <w:spacing w:line="240" w:lineRule="auto"/>
    </w:pPr>
    <w:rPr>
      <w:rFonts w:asciiTheme="majorHAnsi" w:eastAsiaTheme="majorEastAsia" w:hAnsiTheme="majorHAnsi" w:cstheme="majorBidi"/>
    </w:rPr>
    <w:tblPr>
      <w:tblStyleRowBandSize w:val="1"/>
      <w:tblStyleColBandSize w:val="1"/>
      <w:tblBorders>
        <w:top w:val="single" w:sz="8" w:space="0" w:color="00AFAE" w:themeColor="accent6"/>
        <w:left w:val="single" w:sz="8" w:space="0" w:color="00AFAE" w:themeColor="accent6"/>
        <w:bottom w:val="single" w:sz="8" w:space="0" w:color="00AFAE" w:themeColor="accent6"/>
        <w:right w:val="single" w:sz="8" w:space="0" w:color="00AFAE" w:themeColor="accent6"/>
      </w:tblBorders>
    </w:tblPr>
    <w:tblStylePr w:type="firstRow">
      <w:rPr>
        <w:sz w:val="24"/>
        <w:szCs w:val="24"/>
      </w:rPr>
      <w:tblPr/>
      <w:tcPr>
        <w:tcBorders>
          <w:top w:val="nil"/>
          <w:left w:val="nil"/>
          <w:bottom w:val="single" w:sz="24" w:space="0" w:color="00AFAE" w:themeColor="accent6"/>
          <w:right w:val="nil"/>
          <w:insideH w:val="nil"/>
          <w:insideV w:val="nil"/>
        </w:tcBorders>
        <w:shd w:val="clear" w:color="auto" w:fill="FFFFFF" w:themeFill="background1"/>
      </w:tcPr>
    </w:tblStylePr>
    <w:tblStylePr w:type="lastRow">
      <w:tblPr/>
      <w:tcPr>
        <w:tcBorders>
          <w:top w:val="single" w:sz="8" w:space="0" w:color="00AFA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FAE" w:themeColor="accent6"/>
          <w:insideH w:val="nil"/>
          <w:insideV w:val="nil"/>
        </w:tcBorders>
        <w:shd w:val="clear" w:color="auto" w:fill="FFFFFF" w:themeFill="background1"/>
      </w:tcPr>
    </w:tblStylePr>
    <w:tblStylePr w:type="lastCol">
      <w:tblPr/>
      <w:tcPr>
        <w:tcBorders>
          <w:top w:val="nil"/>
          <w:left w:val="single" w:sz="8" w:space="0" w:color="00AFA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E" w:themeFill="accent6" w:themeFillTint="3F"/>
      </w:tcPr>
    </w:tblStylePr>
    <w:tblStylePr w:type="band1Horz">
      <w:tblPr/>
      <w:tcPr>
        <w:tcBorders>
          <w:top w:val="nil"/>
          <w:bottom w:val="nil"/>
          <w:insideH w:val="nil"/>
          <w:insideV w:val="nil"/>
        </w:tcBorders>
        <w:shd w:val="clear" w:color="auto" w:fill="ACFFF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755BA"/>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755BA"/>
    <w:pPr>
      <w:spacing w:line="240" w:lineRule="auto"/>
    </w:pPr>
    <w:tblPr>
      <w:tblStyleRowBandSize w:val="1"/>
      <w:tblStyleColBandSize w:val="1"/>
      <w:tblBorders>
        <w:top w:val="single" w:sz="8" w:space="0" w:color="33CCFF" w:themeColor="accent1" w:themeTint="BF"/>
        <w:left w:val="single" w:sz="8" w:space="0" w:color="33CCFF" w:themeColor="accent1" w:themeTint="BF"/>
        <w:bottom w:val="single" w:sz="8" w:space="0" w:color="33CCFF" w:themeColor="accent1" w:themeTint="BF"/>
        <w:right w:val="single" w:sz="8" w:space="0" w:color="33CCFF" w:themeColor="accent1" w:themeTint="BF"/>
        <w:insideH w:val="single" w:sz="8" w:space="0" w:color="33CCFF" w:themeColor="accent1" w:themeTint="BF"/>
      </w:tblBorders>
    </w:tblPr>
    <w:tblStylePr w:type="firstRow">
      <w:pPr>
        <w:spacing w:before="0" w:after="0" w:line="240" w:lineRule="auto"/>
      </w:pPr>
      <w:rPr>
        <w:b/>
        <w:bCs/>
        <w:color w:val="FFFFFF" w:themeColor="background1"/>
      </w:rPr>
      <w:tblPr/>
      <w:tcPr>
        <w:tcBorders>
          <w:top w:val="single" w:sz="8" w:space="0" w:color="33CCFF" w:themeColor="accent1" w:themeTint="BF"/>
          <w:left w:val="single" w:sz="8" w:space="0" w:color="33CCFF" w:themeColor="accent1" w:themeTint="BF"/>
          <w:bottom w:val="single" w:sz="8" w:space="0" w:color="33CCFF" w:themeColor="accent1" w:themeTint="BF"/>
          <w:right w:val="single" w:sz="8" w:space="0" w:color="33CCFF" w:themeColor="accent1" w:themeTint="BF"/>
          <w:insideH w:val="nil"/>
          <w:insideV w:val="nil"/>
        </w:tcBorders>
        <w:shd w:val="clear" w:color="auto" w:fill="00B4EE" w:themeFill="accent1"/>
      </w:tcPr>
    </w:tblStylePr>
    <w:tblStylePr w:type="lastRow">
      <w:pPr>
        <w:spacing w:before="0" w:after="0" w:line="240" w:lineRule="auto"/>
      </w:pPr>
      <w:rPr>
        <w:b/>
        <w:bCs/>
      </w:rPr>
      <w:tblPr/>
      <w:tcPr>
        <w:tcBorders>
          <w:top w:val="double" w:sz="6" w:space="0" w:color="33CCFF" w:themeColor="accent1" w:themeTint="BF"/>
          <w:left w:val="single" w:sz="8" w:space="0" w:color="33CCFF" w:themeColor="accent1" w:themeTint="BF"/>
          <w:bottom w:val="single" w:sz="8" w:space="0" w:color="33CCFF" w:themeColor="accent1" w:themeTint="BF"/>
          <w:right w:val="single" w:sz="8" w:space="0" w:color="33CC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BEEFF" w:themeFill="accent1" w:themeFillTint="3F"/>
      </w:tcPr>
    </w:tblStylePr>
    <w:tblStylePr w:type="band1Horz">
      <w:tblPr/>
      <w:tcPr>
        <w:tcBorders>
          <w:insideH w:val="nil"/>
          <w:insideV w:val="nil"/>
        </w:tcBorders>
        <w:shd w:val="clear" w:color="auto" w:fill="BBEE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755BA"/>
    <w:pPr>
      <w:spacing w:line="240" w:lineRule="auto"/>
    </w:pPr>
    <w:tblPr>
      <w:tblStyleRowBandSize w:val="1"/>
      <w:tblStyleColBandSize w:val="1"/>
      <w:tblBorders>
        <w:top w:val="single" w:sz="8" w:space="0" w:color="1A92FF" w:themeColor="accent2" w:themeTint="BF"/>
        <w:left w:val="single" w:sz="8" w:space="0" w:color="1A92FF" w:themeColor="accent2" w:themeTint="BF"/>
        <w:bottom w:val="single" w:sz="8" w:space="0" w:color="1A92FF" w:themeColor="accent2" w:themeTint="BF"/>
        <w:right w:val="single" w:sz="8" w:space="0" w:color="1A92FF" w:themeColor="accent2" w:themeTint="BF"/>
        <w:insideH w:val="single" w:sz="8" w:space="0" w:color="1A92FF" w:themeColor="accent2" w:themeTint="BF"/>
      </w:tblBorders>
    </w:tblPr>
    <w:tblStylePr w:type="firstRow">
      <w:pPr>
        <w:spacing w:before="0" w:after="0" w:line="240" w:lineRule="auto"/>
      </w:pPr>
      <w:rPr>
        <w:b/>
        <w:bCs/>
        <w:color w:val="FFFFFF" w:themeColor="background1"/>
      </w:rPr>
      <w:tblPr/>
      <w:tcPr>
        <w:tcBorders>
          <w:top w:val="single" w:sz="8" w:space="0" w:color="1A92FF" w:themeColor="accent2" w:themeTint="BF"/>
          <w:left w:val="single" w:sz="8" w:space="0" w:color="1A92FF" w:themeColor="accent2" w:themeTint="BF"/>
          <w:bottom w:val="single" w:sz="8" w:space="0" w:color="1A92FF" w:themeColor="accent2" w:themeTint="BF"/>
          <w:right w:val="single" w:sz="8" w:space="0" w:color="1A92FF" w:themeColor="accent2" w:themeTint="BF"/>
          <w:insideH w:val="nil"/>
          <w:insideV w:val="nil"/>
        </w:tcBorders>
        <w:shd w:val="clear" w:color="auto" w:fill="006CCD" w:themeFill="accent2"/>
      </w:tcPr>
    </w:tblStylePr>
    <w:tblStylePr w:type="lastRow">
      <w:pPr>
        <w:spacing w:before="0" w:after="0" w:line="240" w:lineRule="auto"/>
      </w:pPr>
      <w:rPr>
        <w:b/>
        <w:bCs/>
      </w:rPr>
      <w:tblPr/>
      <w:tcPr>
        <w:tcBorders>
          <w:top w:val="double" w:sz="6" w:space="0" w:color="1A92FF" w:themeColor="accent2" w:themeTint="BF"/>
          <w:left w:val="single" w:sz="8" w:space="0" w:color="1A92FF" w:themeColor="accent2" w:themeTint="BF"/>
          <w:bottom w:val="single" w:sz="8" w:space="0" w:color="1A92FF" w:themeColor="accent2" w:themeTint="BF"/>
          <w:right w:val="single" w:sz="8" w:space="0" w:color="1A92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3DBFF" w:themeFill="accent2" w:themeFillTint="3F"/>
      </w:tcPr>
    </w:tblStylePr>
    <w:tblStylePr w:type="band1Horz">
      <w:tblPr/>
      <w:tcPr>
        <w:tcBorders>
          <w:insideH w:val="nil"/>
          <w:insideV w:val="nil"/>
        </w:tcBorders>
        <w:shd w:val="clear" w:color="auto" w:fill="B3DB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755BA"/>
    <w:pPr>
      <w:spacing w:line="240" w:lineRule="auto"/>
    </w:pPr>
    <w:tblPr>
      <w:tblStyleRowBandSize w:val="1"/>
      <w:tblStyleColBandSize w:val="1"/>
      <w:tblBorders>
        <w:top w:val="single" w:sz="8" w:space="0" w:color="9EDDFF" w:themeColor="accent3" w:themeTint="BF"/>
        <w:left w:val="single" w:sz="8" w:space="0" w:color="9EDDFF" w:themeColor="accent3" w:themeTint="BF"/>
        <w:bottom w:val="single" w:sz="8" w:space="0" w:color="9EDDFF" w:themeColor="accent3" w:themeTint="BF"/>
        <w:right w:val="single" w:sz="8" w:space="0" w:color="9EDDFF" w:themeColor="accent3" w:themeTint="BF"/>
        <w:insideH w:val="single" w:sz="8" w:space="0" w:color="9EDDFF" w:themeColor="accent3" w:themeTint="BF"/>
      </w:tblBorders>
    </w:tblPr>
    <w:tblStylePr w:type="firstRow">
      <w:pPr>
        <w:spacing w:before="0" w:after="0" w:line="240" w:lineRule="auto"/>
      </w:pPr>
      <w:rPr>
        <w:b/>
        <w:bCs/>
        <w:color w:val="FFFFFF" w:themeColor="background1"/>
      </w:rPr>
      <w:tblPr/>
      <w:tcPr>
        <w:tcBorders>
          <w:top w:val="single" w:sz="8" w:space="0" w:color="9EDDFF" w:themeColor="accent3" w:themeTint="BF"/>
          <w:left w:val="single" w:sz="8" w:space="0" w:color="9EDDFF" w:themeColor="accent3" w:themeTint="BF"/>
          <w:bottom w:val="single" w:sz="8" w:space="0" w:color="9EDDFF" w:themeColor="accent3" w:themeTint="BF"/>
          <w:right w:val="single" w:sz="8" w:space="0" w:color="9EDDFF" w:themeColor="accent3" w:themeTint="BF"/>
          <w:insideH w:val="nil"/>
          <w:insideV w:val="nil"/>
        </w:tcBorders>
        <w:shd w:val="clear" w:color="auto" w:fill="7ED2FF" w:themeFill="accent3"/>
      </w:tcPr>
    </w:tblStylePr>
    <w:tblStylePr w:type="lastRow">
      <w:pPr>
        <w:spacing w:before="0" w:after="0" w:line="240" w:lineRule="auto"/>
      </w:pPr>
      <w:rPr>
        <w:b/>
        <w:bCs/>
      </w:rPr>
      <w:tblPr/>
      <w:tcPr>
        <w:tcBorders>
          <w:top w:val="double" w:sz="6" w:space="0" w:color="9EDDFF" w:themeColor="accent3" w:themeTint="BF"/>
          <w:left w:val="single" w:sz="8" w:space="0" w:color="9EDDFF" w:themeColor="accent3" w:themeTint="BF"/>
          <w:bottom w:val="single" w:sz="8" w:space="0" w:color="9EDDFF" w:themeColor="accent3" w:themeTint="BF"/>
          <w:right w:val="single" w:sz="8" w:space="0" w:color="9EDD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F3FF" w:themeFill="accent3" w:themeFillTint="3F"/>
      </w:tcPr>
    </w:tblStylePr>
    <w:tblStylePr w:type="band1Horz">
      <w:tblPr/>
      <w:tcPr>
        <w:tcBorders>
          <w:insideH w:val="nil"/>
          <w:insideV w:val="nil"/>
        </w:tcBorders>
        <w:shd w:val="clear" w:color="auto" w:fill="DFF3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755BA"/>
    <w:pPr>
      <w:spacing w:line="240" w:lineRule="auto"/>
    </w:pPr>
    <w:tblPr>
      <w:tblStyleRowBandSize w:val="1"/>
      <w:tblStyleColBandSize w:val="1"/>
      <w:tblBorders>
        <w:top w:val="single" w:sz="8" w:space="0" w:color="30B1FF" w:themeColor="accent4" w:themeTint="BF"/>
        <w:left w:val="single" w:sz="8" w:space="0" w:color="30B1FF" w:themeColor="accent4" w:themeTint="BF"/>
        <w:bottom w:val="single" w:sz="8" w:space="0" w:color="30B1FF" w:themeColor="accent4" w:themeTint="BF"/>
        <w:right w:val="single" w:sz="8" w:space="0" w:color="30B1FF" w:themeColor="accent4" w:themeTint="BF"/>
        <w:insideH w:val="single" w:sz="8" w:space="0" w:color="30B1FF" w:themeColor="accent4" w:themeTint="BF"/>
      </w:tblBorders>
    </w:tblPr>
    <w:tblStylePr w:type="firstRow">
      <w:pPr>
        <w:spacing w:before="0" w:after="0" w:line="240" w:lineRule="auto"/>
      </w:pPr>
      <w:rPr>
        <w:b/>
        <w:bCs/>
        <w:color w:val="FFFFFF" w:themeColor="background1"/>
      </w:rPr>
      <w:tblPr/>
      <w:tcPr>
        <w:tcBorders>
          <w:top w:val="single" w:sz="8" w:space="0" w:color="30B1FF" w:themeColor="accent4" w:themeTint="BF"/>
          <w:left w:val="single" w:sz="8" w:space="0" w:color="30B1FF" w:themeColor="accent4" w:themeTint="BF"/>
          <w:bottom w:val="single" w:sz="8" w:space="0" w:color="30B1FF" w:themeColor="accent4" w:themeTint="BF"/>
          <w:right w:val="single" w:sz="8" w:space="0" w:color="30B1FF" w:themeColor="accent4" w:themeTint="BF"/>
          <w:insideH w:val="nil"/>
          <w:insideV w:val="nil"/>
        </w:tcBorders>
        <w:shd w:val="clear" w:color="auto" w:fill="0093EA" w:themeFill="accent4"/>
      </w:tcPr>
    </w:tblStylePr>
    <w:tblStylePr w:type="lastRow">
      <w:pPr>
        <w:spacing w:before="0" w:after="0" w:line="240" w:lineRule="auto"/>
      </w:pPr>
      <w:rPr>
        <w:b/>
        <w:bCs/>
      </w:rPr>
      <w:tblPr/>
      <w:tcPr>
        <w:tcBorders>
          <w:top w:val="double" w:sz="6" w:space="0" w:color="30B1FF" w:themeColor="accent4" w:themeTint="BF"/>
          <w:left w:val="single" w:sz="8" w:space="0" w:color="30B1FF" w:themeColor="accent4" w:themeTint="BF"/>
          <w:bottom w:val="single" w:sz="8" w:space="0" w:color="30B1FF" w:themeColor="accent4" w:themeTint="BF"/>
          <w:right w:val="single" w:sz="8" w:space="0" w:color="30B1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BAE5FF" w:themeFill="accent4" w:themeFillTint="3F"/>
      </w:tcPr>
    </w:tblStylePr>
    <w:tblStylePr w:type="band1Horz">
      <w:tblPr/>
      <w:tcPr>
        <w:tcBorders>
          <w:insideH w:val="nil"/>
          <w:insideV w:val="nil"/>
        </w:tcBorders>
        <w:shd w:val="clear" w:color="auto" w:fill="BAE5F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755BA"/>
    <w:pPr>
      <w:spacing w:line="240" w:lineRule="auto"/>
    </w:pPr>
    <w:tblPr>
      <w:tblStyleRowBandSize w:val="1"/>
      <w:tblStyleColBandSize w:val="1"/>
      <w:tblBorders>
        <w:top w:val="single" w:sz="8" w:space="0" w:color="2663DC" w:themeColor="accent5" w:themeTint="BF"/>
        <w:left w:val="single" w:sz="8" w:space="0" w:color="2663DC" w:themeColor="accent5" w:themeTint="BF"/>
        <w:bottom w:val="single" w:sz="8" w:space="0" w:color="2663DC" w:themeColor="accent5" w:themeTint="BF"/>
        <w:right w:val="single" w:sz="8" w:space="0" w:color="2663DC" w:themeColor="accent5" w:themeTint="BF"/>
        <w:insideH w:val="single" w:sz="8" w:space="0" w:color="2663DC" w:themeColor="accent5" w:themeTint="BF"/>
      </w:tblBorders>
    </w:tblPr>
    <w:tblStylePr w:type="firstRow">
      <w:pPr>
        <w:spacing w:before="0" w:after="0" w:line="240" w:lineRule="auto"/>
      </w:pPr>
      <w:rPr>
        <w:b/>
        <w:bCs/>
        <w:color w:val="FFFFFF" w:themeColor="background1"/>
      </w:rPr>
      <w:tblPr/>
      <w:tcPr>
        <w:tcBorders>
          <w:top w:val="single" w:sz="8" w:space="0" w:color="2663DC" w:themeColor="accent5" w:themeTint="BF"/>
          <w:left w:val="single" w:sz="8" w:space="0" w:color="2663DC" w:themeColor="accent5" w:themeTint="BF"/>
          <w:bottom w:val="single" w:sz="8" w:space="0" w:color="2663DC" w:themeColor="accent5" w:themeTint="BF"/>
          <w:right w:val="single" w:sz="8" w:space="0" w:color="2663DC" w:themeColor="accent5" w:themeTint="BF"/>
          <w:insideH w:val="nil"/>
          <w:insideV w:val="nil"/>
        </w:tcBorders>
        <w:shd w:val="clear" w:color="auto" w:fill="184398" w:themeFill="accent5"/>
      </w:tcPr>
    </w:tblStylePr>
    <w:tblStylePr w:type="lastRow">
      <w:pPr>
        <w:spacing w:before="0" w:after="0" w:line="240" w:lineRule="auto"/>
      </w:pPr>
      <w:rPr>
        <w:b/>
        <w:bCs/>
      </w:rPr>
      <w:tblPr/>
      <w:tcPr>
        <w:tcBorders>
          <w:top w:val="double" w:sz="6" w:space="0" w:color="2663DC" w:themeColor="accent5" w:themeTint="BF"/>
          <w:left w:val="single" w:sz="8" w:space="0" w:color="2663DC" w:themeColor="accent5" w:themeTint="BF"/>
          <w:bottom w:val="single" w:sz="8" w:space="0" w:color="2663DC" w:themeColor="accent5" w:themeTint="BF"/>
          <w:right w:val="single" w:sz="8" w:space="0" w:color="2663DC" w:themeColor="accent5" w:themeTint="BF"/>
          <w:insideH w:val="nil"/>
          <w:insideV w:val="nil"/>
        </w:tcBorders>
      </w:tcPr>
    </w:tblStylePr>
    <w:tblStylePr w:type="firstCol">
      <w:rPr>
        <w:b/>
        <w:bCs/>
      </w:rPr>
    </w:tblStylePr>
    <w:tblStylePr w:type="lastCol">
      <w:rPr>
        <w:b/>
        <w:bCs/>
      </w:rPr>
    </w:tblStylePr>
    <w:tblStylePr w:type="band1Vert">
      <w:tblPr/>
      <w:tcPr>
        <w:shd w:val="clear" w:color="auto" w:fill="B7CBF3" w:themeFill="accent5" w:themeFillTint="3F"/>
      </w:tcPr>
    </w:tblStylePr>
    <w:tblStylePr w:type="band1Horz">
      <w:tblPr/>
      <w:tcPr>
        <w:tcBorders>
          <w:insideH w:val="nil"/>
          <w:insideV w:val="nil"/>
        </w:tcBorders>
        <w:shd w:val="clear" w:color="auto" w:fill="B7CBF3"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755BA"/>
    <w:pPr>
      <w:spacing w:line="240" w:lineRule="auto"/>
    </w:pPr>
    <w:tblPr>
      <w:tblStyleRowBandSize w:val="1"/>
      <w:tblStyleColBandSize w:val="1"/>
      <w:tblBorders>
        <w:top w:val="single" w:sz="8" w:space="0" w:color="04FFFD" w:themeColor="accent6" w:themeTint="BF"/>
        <w:left w:val="single" w:sz="8" w:space="0" w:color="04FFFD" w:themeColor="accent6" w:themeTint="BF"/>
        <w:bottom w:val="single" w:sz="8" w:space="0" w:color="04FFFD" w:themeColor="accent6" w:themeTint="BF"/>
        <w:right w:val="single" w:sz="8" w:space="0" w:color="04FFFD" w:themeColor="accent6" w:themeTint="BF"/>
        <w:insideH w:val="single" w:sz="8" w:space="0" w:color="04FFFD" w:themeColor="accent6" w:themeTint="BF"/>
      </w:tblBorders>
    </w:tblPr>
    <w:tblStylePr w:type="firstRow">
      <w:pPr>
        <w:spacing w:before="0" w:after="0" w:line="240" w:lineRule="auto"/>
      </w:pPr>
      <w:rPr>
        <w:b/>
        <w:bCs/>
        <w:color w:val="FFFFFF" w:themeColor="background1"/>
      </w:rPr>
      <w:tblPr/>
      <w:tcPr>
        <w:tcBorders>
          <w:top w:val="single" w:sz="8" w:space="0" w:color="04FFFD" w:themeColor="accent6" w:themeTint="BF"/>
          <w:left w:val="single" w:sz="8" w:space="0" w:color="04FFFD" w:themeColor="accent6" w:themeTint="BF"/>
          <w:bottom w:val="single" w:sz="8" w:space="0" w:color="04FFFD" w:themeColor="accent6" w:themeTint="BF"/>
          <w:right w:val="single" w:sz="8" w:space="0" w:color="04FFFD" w:themeColor="accent6" w:themeTint="BF"/>
          <w:insideH w:val="nil"/>
          <w:insideV w:val="nil"/>
        </w:tcBorders>
        <w:shd w:val="clear" w:color="auto" w:fill="00AFAE" w:themeFill="accent6"/>
      </w:tcPr>
    </w:tblStylePr>
    <w:tblStylePr w:type="lastRow">
      <w:pPr>
        <w:spacing w:before="0" w:after="0" w:line="240" w:lineRule="auto"/>
      </w:pPr>
      <w:rPr>
        <w:b/>
        <w:bCs/>
      </w:rPr>
      <w:tblPr/>
      <w:tcPr>
        <w:tcBorders>
          <w:top w:val="double" w:sz="6" w:space="0" w:color="04FFFD" w:themeColor="accent6" w:themeTint="BF"/>
          <w:left w:val="single" w:sz="8" w:space="0" w:color="04FFFD" w:themeColor="accent6" w:themeTint="BF"/>
          <w:bottom w:val="single" w:sz="8" w:space="0" w:color="04FFFD" w:themeColor="accent6" w:themeTint="BF"/>
          <w:right w:val="single" w:sz="8" w:space="0" w:color="04FFFD" w:themeColor="accent6" w:themeTint="BF"/>
          <w:insideH w:val="nil"/>
          <w:insideV w:val="nil"/>
        </w:tcBorders>
      </w:tcPr>
    </w:tblStylePr>
    <w:tblStylePr w:type="firstCol">
      <w:rPr>
        <w:b/>
        <w:bCs/>
      </w:rPr>
    </w:tblStylePr>
    <w:tblStylePr w:type="lastCol">
      <w:rPr>
        <w:b/>
        <w:bCs/>
      </w:rPr>
    </w:tblStylePr>
    <w:tblStylePr w:type="band1Vert">
      <w:tblPr/>
      <w:tcPr>
        <w:shd w:val="clear" w:color="auto" w:fill="ACFFFE" w:themeFill="accent6" w:themeFillTint="3F"/>
      </w:tcPr>
    </w:tblStylePr>
    <w:tblStylePr w:type="band1Horz">
      <w:tblPr/>
      <w:tcPr>
        <w:tcBorders>
          <w:insideH w:val="nil"/>
          <w:insideV w:val="nil"/>
        </w:tcBorders>
        <w:shd w:val="clear" w:color="auto" w:fill="ACFFFE"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4E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4EE" w:themeFill="accent1"/>
      </w:tcPr>
    </w:tblStylePr>
    <w:tblStylePr w:type="lastCol">
      <w:rPr>
        <w:b/>
        <w:bCs/>
        <w:color w:val="FFFFFF" w:themeColor="background1"/>
      </w:rPr>
      <w:tblPr/>
      <w:tcPr>
        <w:tcBorders>
          <w:left w:val="nil"/>
          <w:right w:val="nil"/>
          <w:insideH w:val="nil"/>
          <w:insideV w:val="nil"/>
        </w:tcBorders>
        <w:shd w:val="clear" w:color="auto" w:fill="00B4E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CC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CCD" w:themeFill="accent2"/>
      </w:tcPr>
    </w:tblStylePr>
    <w:tblStylePr w:type="lastCol">
      <w:rPr>
        <w:b/>
        <w:bCs/>
        <w:color w:val="FFFFFF" w:themeColor="background1"/>
      </w:rPr>
      <w:tblPr/>
      <w:tcPr>
        <w:tcBorders>
          <w:left w:val="nil"/>
          <w:right w:val="nil"/>
          <w:insideH w:val="nil"/>
          <w:insideV w:val="nil"/>
        </w:tcBorders>
        <w:shd w:val="clear" w:color="auto" w:fill="006CC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ED2F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ED2FF" w:themeFill="accent3"/>
      </w:tcPr>
    </w:tblStylePr>
    <w:tblStylePr w:type="lastCol">
      <w:rPr>
        <w:b/>
        <w:bCs/>
        <w:color w:val="FFFFFF" w:themeColor="background1"/>
      </w:rPr>
      <w:tblPr/>
      <w:tcPr>
        <w:tcBorders>
          <w:left w:val="nil"/>
          <w:right w:val="nil"/>
          <w:insideH w:val="nil"/>
          <w:insideV w:val="nil"/>
        </w:tcBorders>
        <w:shd w:val="clear" w:color="auto" w:fill="7ED2F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3EA"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3EA" w:themeFill="accent4"/>
      </w:tcPr>
    </w:tblStylePr>
    <w:tblStylePr w:type="lastCol">
      <w:rPr>
        <w:b/>
        <w:bCs/>
        <w:color w:val="FFFFFF" w:themeColor="background1"/>
      </w:rPr>
      <w:tblPr/>
      <w:tcPr>
        <w:tcBorders>
          <w:left w:val="nil"/>
          <w:right w:val="nil"/>
          <w:insideH w:val="nil"/>
          <w:insideV w:val="nil"/>
        </w:tcBorders>
        <w:shd w:val="clear" w:color="auto" w:fill="0093EA"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8439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84398" w:themeFill="accent5"/>
      </w:tcPr>
    </w:tblStylePr>
    <w:tblStylePr w:type="lastCol">
      <w:rPr>
        <w:b/>
        <w:bCs/>
        <w:color w:val="FFFFFF" w:themeColor="background1"/>
      </w:rPr>
      <w:tblPr/>
      <w:tcPr>
        <w:tcBorders>
          <w:left w:val="nil"/>
          <w:right w:val="nil"/>
          <w:insideH w:val="nil"/>
          <w:insideV w:val="nil"/>
        </w:tcBorders>
        <w:shd w:val="clear" w:color="auto" w:fill="18439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755B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FA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FAE" w:themeFill="accent6"/>
      </w:tcPr>
    </w:tblStylePr>
    <w:tblStylePr w:type="lastCol">
      <w:rPr>
        <w:b/>
        <w:bCs/>
        <w:color w:val="FFFFFF" w:themeColor="background1"/>
      </w:rPr>
      <w:tblPr/>
      <w:tcPr>
        <w:tcBorders>
          <w:left w:val="nil"/>
          <w:right w:val="nil"/>
          <w:insideH w:val="nil"/>
          <w:insideV w:val="nil"/>
        </w:tcBorders>
        <w:shd w:val="clear" w:color="auto" w:fill="00AFA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7755BA"/>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755BA"/>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755BA"/>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755BA"/>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755B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7755BA"/>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ceholderTable">
    <w:name w:val="Placeholder Table"/>
    <w:basedOn w:val="TableNormal"/>
    <w:uiPriority w:val="99"/>
    <w:rsid w:val="00E7047F"/>
    <w:pPr>
      <w:spacing w:before="0" w:after="0"/>
    </w:pPr>
    <w:tblPr>
      <w:tblCellMar>
        <w:left w:w="0" w:type="dxa"/>
        <w:right w:w="0" w:type="dxa"/>
      </w:tblCellMar>
    </w:tblPr>
  </w:style>
  <w:style w:type="paragraph" w:styleId="FootnoteText">
    <w:name w:val="footnote text"/>
    <w:basedOn w:val="Normal"/>
    <w:link w:val="FootnoteTextChar"/>
    <w:uiPriority w:val="99"/>
    <w:semiHidden/>
    <w:unhideWhenUsed/>
    <w:rsid w:val="008330B4"/>
    <w:pPr>
      <w:spacing w:before="0" w:after="0" w:line="240" w:lineRule="auto"/>
    </w:pPr>
  </w:style>
  <w:style w:type="character" w:customStyle="1" w:styleId="FootnoteTextChar">
    <w:name w:val="Footnote Text Char"/>
    <w:basedOn w:val="DefaultParagraphFont"/>
    <w:link w:val="FootnoteText"/>
    <w:uiPriority w:val="99"/>
    <w:semiHidden/>
    <w:rsid w:val="008330B4"/>
  </w:style>
  <w:style w:type="paragraph" w:styleId="NoSpacing">
    <w:name w:val="No Spacing"/>
    <w:uiPriority w:val="1"/>
    <w:qFormat/>
    <w:rsid w:val="008330B4"/>
    <w:pPr>
      <w:spacing w:before="0" w:after="0"/>
    </w:pPr>
  </w:style>
  <w:style w:type="paragraph" w:customStyle="1" w:styleId="ListContinueBullet">
    <w:name w:val="List Continue Bullet"/>
    <w:basedOn w:val="ListContinue"/>
    <w:rsid w:val="003A4730"/>
    <w:pPr>
      <w:spacing w:before="50" w:after="50"/>
      <w:ind w:left="198"/>
    </w:pPr>
  </w:style>
  <w:style w:type="paragraph" w:customStyle="1" w:styleId="TableText">
    <w:name w:val="Table Text"/>
    <w:basedOn w:val="Normal"/>
    <w:qFormat/>
    <w:rsid w:val="00281D5E"/>
  </w:style>
  <w:style w:type="paragraph" w:styleId="Caption">
    <w:name w:val="caption"/>
    <w:basedOn w:val="Normal"/>
    <w:next w:val="Normal"/>
    <w:uiPriority w:val="35"/>
    <w:qFormat/>
    <w:rsid w:val="00BE5C05"/>
    <w:pPr>
      <w:keepNext/>
      <w:spacing w:before="360" w:after="100"/>
    </w:pPr>
    <w:rPr>
      <w:rFonts w:asciiTheme="majorHAnsi" w:hAnsiTheme="majorHAnsi"/>
      <w:b/>
      <w:iCs/>
      <w:color w:val="000000" w:themeColor="text1"/>
      <w:szCs w:val="18"/>
    </w:rPr>
  </w:style>
  <w:style w:type="paragraph" w:styleId="Title">
    <w:name w:val="Title"/>
    <w:basedOn w:val="Normal"/>
    <w:next w:val="Normal"/>
    <w:link w:val="TitleChar"/>
    <w:uiPriority w:val="2"/>
    <w:rsid w:val="00BE5C05"/>
    <w:pPr>
      <w:framePr w:hSpace="181" w:wrap="around" w:vAnchor="page" w:hAnchor="page" w:x="7089" w:y="993"/>
      <w:spacing w:after="640" w:line="218" w:lineRule="auto"/>
      <w:suppressOverlap/>
    </w:pPr>
    <w:rPr>
      <w:rFonts w:asciiTheme="majorHAnsi" w:eastAsiaTheme="majorEastAsia" w:hAnsiTheme="majorHAnsi" w:cstheme="majorBidi"/>
      <w:b/>
      <w:color w:val="FFFFFF" w:themeColor="background1"/>
      <w:kern w:val="28"/>
      <w:sz w:val="60"/>
      <w:szCs w:val="56"/>
    </w:rPr>
  </w:style>
  <w:style w:type="character" w:customStyle="1" w:styleId="TitleChar">
    <w:name w:val="Title Char"/>
    <w:basedOn w:val="DefaultParagraphFont"/>
    <w:link w:val="Title"/>
    <w:uiPriority w:val="2"/>
    <w:rsid w:val="00BE5C05"/>
    <w:rPr>
      <w:rFonts w:asciiTheme="majorHAnsi" w:eastAsiaTheme="majorEastAsia" w:hAnsiTheme="majorHAnsi" w:cstheme="majorBidi"/>
      <w:b/>
      <w:color w:val="FFFFFF" w:themeColor="background1"/>
      <w:kern w:val="28"/>
      <w:sz w:val="60"/>
      <w:szCs w:val="56"/>
    </w:rPr>
  </w:style>
  <w:style w:type="paragraph" w:styleId="Subtitle">
    <w:name w:val="Subtitle"/>
    <w:basedOn w:val="Normal"/>
    <w:next w:val="Normal"/>
    <w:link w:val="SubtitleChar"/>
    <w:uiPriority w:val="2"/>
    <w:rsid w:val="006A11F5"/>
    <w:pPr>
      <w:framePr w:hSpace="181" w:wrap="around" w:vAnchor="page" w:hAnchor="page" w:x="7089" w:y="993"/>
      <w:numPr>
        <w:ilvl w:val="1"/>
      </w:numPr>
      <w:spacing w:before="0" w:after="0" w:line="228" w:lineRule="auto"/>
      <w:suppressOverlap/>
    </w:pPr>
    <w:rPr>
      <w:rFonts w:asciiTheme="majorHAnsi" w:eastAsiaTheme="minorEastAsia" w:hAnsiTheme="majorHAnsi" w:cstheme="minorBidi"/>
      <w:color w:val="FFFFFF" w:themeColor="background1"/>
      <w:sz w:val="26"/>
      <w:szCs w:val="22"/>
    </w:rPr>
  </w:style>
  <w:style w:type="character" w:customStyle="1" w:styleId="SubtitleChar">
    <w:name w:val="Subtitle Char"/>
    <w:basedOn w:val="DefaultParagraphFont"/>
    <w:link w:val="Subtitle"/>
    <w:uiPriority w:val="2"/>
    <w:rsid w:val="006A11F5"/>
    <w:rPr>
      <w:rFonts w:asciiTheme="majorHAnsi" w:eastAsiaTheme="minorEastAsia" w:hAnsiTheme="majorHAnsi" w:cstheme="minorBidi"/>
      <w:color w:val="FFFFFF" w:themeColor="background1"/>
      <w:sz w:val="26"/>
      <w:szCs w:val="22"/>
    </w:rPr>
  </w:style>
  <w:style w:type="paragraph" w:customStyle="1" w:styleId="Introtext">
    <w:name w:val="Intro text"/>
    <w:basedOn w:val="BodyText"/>
    <w:qFormat/>
    <w:rsid w:val="00E71737"/>
    <w:pPr>
      <w:pBdr>
        <w:top w:val="single" w:sz="4" w:space="14" w:color="00B4EE" w:themeColor="accent1"/>
        <w:bottom w:val="single" w:sz="4" w:space="10" w:color="00B4EE" w:themeColor="accent1"/>
      </w:pBdr>
      <w:spacing w:before="520" w:after="240"/>
    </w:pPr>
    <w:rPr>
      <w:color w:val="00B4EE" w:themeColor="accent1"/>
    </w:rPr>
  </w:style>
  <w:style w:type="paragraph" w:customStyle="1" w:styleId="TableBullet">
    <w:name w:val="Table Bullet"/>
    <w:basedOn w:val="Normal"/>
    <w:qFormat/>
    <w:rsid w:val="00B35C8C"/>
    <w:pPr>
      <w:numPr>
        <w:numId w:val="3"/>
      </w:numPr>
    </w:pPr>
    <w:rPr>
      <w:color w:val="000000" w:themeColor="text1"/>
      <w:szCs w:val="21"/>
    </w:rPr>
  </w:style>
  <w:style w:type="paragraph" w:customStyle="1" w:styleId="TableNumbering">
    <w:name w:val="Table Numbering"/>
    <w:basedOn w:val="TableText"/>
    <w:qFormat/>
    <w:rsid w:val="00B3440D"/>
    <w:pPr>
      <w:numPr>
        <w:numId w:val="4"/>
      </w:numPr>
    </w:pPr>
  </w:style>
  <w:style w:type="paragraph" w:customStyle="1" w:styleId="FooterTextRight">
    <w:name w:val="Footer Text Right"/>
    <w:basedOn w:val="Footer"/>
    <w:uiPriority w:val="99"/>
    <w:rsid w:val="009B5347"/>
    <w:pPr>
      <w:jc w:val="right"/>
    </w:pPr>
  </w:style>
  <w:style w:type="paragraph" w:customStyle="1" w:styleId="TableHeading">
    <w:name w:val="Table Heading"/>
    <w:basedOn w:val="Normal"/>
    <w:qFormat/>
    <w:rsid w:val="00B3440D"/>
    <w:pPr>
      <w:spacing w:before="0" w:after="0"/>
    </w:pPr>
    <w:rPr>
      <w:color w:val="FFFFFF" w:themeColor="background1"/>
    </w:rPr>
  </w:style>
  <w:style w:type="paragraph" w:customStyle="1" w:styleId="FocusArea">
    <w:name w:val="Focus Area"/>
    <w:basedOn w:val="BodyText"/>
    <w:uiPriority w:val="1"/>
    <w:qFormat/>
    <w:rsid w:val="009767EB"/>
    <w:pPr>
      <w:spacing w:after="0"/>
    </w:pPr>
    <w:rPr>
      <w:rFonts w:asciiTheme="majorHAnsi" w:hAnsiTheme="majorHAnsi"/>
      <w:color w:val="006CCD" w:themeColor="accent2"/>
      <w:sz w:val="30"/>
    </w:rPr>
  </w:style>
  <w:style w:type="paragraph" w:customStyle="1" w:styleId="FocusAreaTitle">
    <w:name w:val="Focus Area Title"/>
    <w:basedOn w:val="FocusArea"/>
    <w:uiPriority w:val="1"/>
    <w:qFormat/>
    <w:rsid w:val="00BE5C05"/>
    <w:pPr>
      <w:spacing w:before="0" w:after="340"/>
    </w:pPr>
    <w:rPr>
      <w:b/>
    </w:rPr>
  </w:style>
  <w:style w:type="paragraph" w:customStyle="1" w:styleId="FocusAreaObjective">
    <w:name w:val="Focus Area Objective"/>
    <w:basedOn w:val="BodyText"/>
    <w:uiPriority w:val="1"/>
    <w:qFormat/>
    <w:rsid w:val="00BE5C05"/>
    <w:pPr>
      <w:spacing w:after="90"/>
    </w:pPr>
    <w:rPr>
      <w:rFonts w:asciiTheme="majorHAnsi" w:hAnsiTheme="majorHAnsi"/>
      <w:b/>
      <w:color w:val="00B4EE" w:themeColor="accent1"/>
    </w:rPr>
  </w:style>
  <w:style w:type="paragraph" w:customStyle="1" w:styleId="FocusAreaBodyText">
    <w:name w:val="Focus Area Body Text"/>
    <w:basedOn w:val="BodyText"/>
    <w:uiPriority w:val="1"/>
    <w:qFormat/>
    <w:rsid w:val="00B04090"/>
    <w:pPr>
      <w:spacing w:line="254" w:lineRule="auto"/>
    </w:pPr>
  </w:style>
  <w:style w:type="paragraph" w:styleId="TOC1">
    <w:name w:val="toc 1"/>
    <w:basedOn w:val="Normal"/>
    <w:next w:val="Normal"/>
    <w:autoRedefine/>
    <w:uiPriority w:val="39"/>
    <w:unhideWhenUsed/>
    <w:rsid w:val="004C1C7C"/>
    <w:pPr>
      <w:tabs>
        <w:tab w:val="right" w:leader="dot" w:pos="9629"/>
      </w:tabs>
      <w:spacing w:after="60"/>
    </w:pPr>
    <w:rPr>
      <w:rFonts w:ascii="Muli SemiBold" w:hAnsi="Muli SemiBold"/>
      <w:color w:val="00B4EE" w:themeColor="accent1"/>
    </w:rPr>
  </w:style>
  <w:style w:type="paragraph" w:styleId="TOC2">
    <w:name w:val="toc 2"/>
    <w:basedOn w:val="Normal"/>
    <w:next w:val="Normal"/>
    <w:autoRedefine/>
    <w:uiPriority w:val="39"/>
    <w:unhideWhenUsed/>
    <w:rsid w:val="004C1C7C"/>
    <w:pPr>
      <w:tabs>
        <w:tab w:val="right" w:leader="dot" w:pos="9629"/>
      </w:tabs>
      <w:spacing w:after="60"/>
    </w:pPr>
  </w:style>
  <w:style w:type="paragraph" w:styleId="TOC3">
    <w:name w:val="toc 3"/>
    <w:basedOn w:val="Normal"/>
    <w:next w:val="Normal"/>
    <w:autoRedefine/>
    <w:uiPriority w:val="39"/>
    <w:unhideWhenUsed/>
    <w:rsid w:val="004C1C7C"/>
    <w:pPr>
      <w:tabs>
        <w:tab w:val="right" w:leader="dot" w:pos="9629"/>
      </w:tabs>
      <w:spacing w:after="60"/>
      <w:ind w:left="283"/>
    </w:pPr>
  </w:style>
  <w:style w:type="paragraph" w:customStyle="1" w:styleId="Source">
    <w:name w:val="Source"/>
    <w:basedOn w:val="Normal"/>
    <w:qFormat/>
    <w:rsid w:val="00667415"/>
    <w:pPr>
      <w:tabs>
        <w:tab w:val="left" w:pos="5529"/>
      </w:tabs>
    </w:pPr>
    <w:rPr>
      <w:sz w:val="17"/>
    </w:rPr>
  </w:style>
  <w:style w:type="paragraph" w:styleId="BodyTextIndent">
    <w:name w:val="Body Text Indent"/>
    <w:basedOn w:val="Normal"/>
    <w:link w:val="BodyTextIndentChar"/>
    <w:uiPriority w:val="99"/>
    <w:unhideWhenUsed/>
    <w:rsid w:val="00694501"/>
    <w:pPr>
      <w:ind w:left="283"/>
    </w:pPr>
  </w:style>
  <w:style w:type="character" w:customStyle="1" w:styleId="BodyTextIndentChar">
    <w:name w:val="Body Text Indent Char"/>
    <w:basedOn w:val="DefaultParagraphFont"/>
    <w:link w:val="BodyTextIndent"/>
    <w:uiPriority w:val="99"/>
    <w:rsid w:val="00694501"/>
  </w:style>
  <w:style w:type="character" w:customStyle="1" w:styleId="Heading1Char">
    <w:name w:val="Heading 1 Char"/>
    <w:basedOn w:val="DefaultParagraphFont"/>
    <w:link w:val="Heading1"/>
    <w:rsid w:val="00694501"/>
    <w:rPr>
      <w:rFonts w:ascii="Arial" w:hAnsi="Arial" w:cs="Arial"/>
      <w:b/>
      <w:color w:val="00617A"/>
      <w:spacing w:val="-2"/>
      <w:sz w:val="46"/>
    </w:rPr>
  </w:style>
  <w:style w:type="character" w:customStyle="1" w:styleId="Heading2Char">
    <w:name w:val="Heading 2 Char"/>
    <w:basedOn w:val="DefaultParagraphFont"/>
    <w:link w:val="Heading2"/>
    <w:uiPriority w:val="9"/>
    <w:rsid w:val="00694501"/>
    <w:rPr>
      <w:rFonts w:ascii="Arial" w:hAnsi="Arial" w:cs="Arial"/>
      <w:color w:val="005A9C"/>
      <w:sz w:val="26"/>
    </w:rPr>
  </w:style>
  <w:style w:type="character" w:customStyle="1" w:styleId="Heading3Char">
    <w:name w:val="Heading 3 Char"/>
    <w:basedOn w:val="DefaultParagraphFont"/>
    <w:link w:val="Heading3"/>
    <w:uiPriority w:val="9"/>
    <w:rsid w:val="00694501"/>
    <w:rPr>
      <w:rFonts w:ascii="Arial" w:hAnsi="Arial" w:cs="Arial"/>
      <w:b/>
      <w:color w:val="00617A"/>
    </w:rPr>
  </w:style>
  <w:style w:type="character" w:customStyle="1" w:styleId="Heading4Char">
    <w:name w:val="Heading 4 Char"/>
    <w:basedOn w:val="DefaultParagraphFont"/>
    <w:link w:val="Heading4"/>
    <w:uiPriority w:val="9"/>
    <w:rsid w:val="00694501"/>
    <w:rPr>
      <w:rFonts w:asciiTheme="majorHAnsi" w:hAnsiTheme="majorHAnsi"/>
      <w:b/>
      <w:bCs/>
      <w:color w:val="000000" w:themeColor="text1"/>
      <w:szCs w:val="28"/>
    </w:rPr>
  </w:style>
  <w:style w:type="character" w:customStyle="1" w:styleId="Heading5Char">
    <w:name w:val="Heading 5 Char"/>
    <w:basedOn w:val="DefaultParagraphFont"/>
    <w:link w:val="Heading5"/>
    <w:uiPriority w:val="9"/>
    <w:rsid w:val="00694501"/>
    <w:rPr>
      <w:b/>
      <w:bCs/>
      <w:i/>
      <w:iCs/>
      <w:sz w:val="26"/>
      <w:szCs w:val="26"/>
    </w:rPr>
  </w:style>
  <w:style w:type="character" w:customStyle="1" w:styleId="Heading6Char">
    <w:name w:val="Heading 6 Char"/>
    <w:basedOn w:val="DefaultParagraphFont"/>
    <w:link w:val="Heading6"/>
    <w:uiPriority w:val="9"/>
    <w:rsid w:val="00694501"/>
    <w:rPr>
      <w:b/>
      <w:bCs/>
    </w:rPr>
  </w:style>
  <w:style w:type="character" w:customStyle="1" w:styleId="Heading7Char">
    <w:name w:val="Heading 7 Char"/>
    <w:basedOn w:val="DefaultParagraphFont"/>
    <w:link w:val="Heading7"/>
    <w:uiPriority w:val="9"/>
    <w:rsid w:val="00694501"/>
    <w:rPr>
      <w:sz w:val="24"/>
      <w:szCs w:val="24"/>
    </w:rPr>
  </w:style>
  <w:style w:type="character" w:customStyle="1" w:styleId="Heading8Char">
    <w:name w:val="Heading 8 Char"/>
    <w:basedOn w:val="DefaultParagraphFont"/>
    <w:link w:val="Heading8"/>
    <w:uiPriority w:val="9"/>
    <w:rsid w:val="00694501"/>
    <w:rPr>
      <w:i/>
      <w:iCs/>
      <w:sz w:val="24"/>
      <w:szCs w:val="24"/>
    </w:rPr>
  </w:style>
  <w:style w:type="character" w:customStyle="1" w:styleId="Heading9Char">
    <w:name w:val="Heading 9 Char"/>
    <w:basedOn w:val="DefaultParagraphFont"/>
    <w:link w:val="Heading9"/>
    <w:uiPriority w:val="9"/>
    <w:rsid w:val="00694501"/>
    <w:rPr>
      <w:rFonts w:cs="Arial"/>
    </w:rPr>
  </w:style>
  <w:style w:type="character" w:customStyle="1" w:styleId="BalloonTextChar">
    <w:name w:val="Balloon Text Char"/>
    <w:basedOn w:val="DefaultParagraphFont"/>
    <w:link w:val="BalloonText"/>
    <w:uiPriority w:val="99"/>
    <w:semiHidden/>
    <w:rsid w:val="00694501"/>
    <w:rPr>
      <w:rFonts w:ascii="Tahoma" w:hAnsi="Tahoma" w:cs="Tahoma"/>
      <w:sz w:val="16"/>
      <w:szCs w:val="16"/>
    </w:rPr>
  </w:style>
  <w:style w:type="paragraph" w:styleId="ListParagraph">
    <w:name w:val="List Paragraph"/>
    <w:basedOn w:val="Normal"/>
    <w:link w:val="ListParagraphChar"/>
    <w:uiPriority w:val="1"/>
    <w:qFormat/>
    <w:rsid w:val="00694501"/>
    <w:pPr>
      <w:spacing w:before="0" w:after="200" w:line="276" w:lineRule="auto"/>
      <w:ind w:left="720"/>
      <w:contextualSpacing/>
    </w:pPr>
    <w:rPr>
      <w:rFonts w:eastAsiaTheme="minorHAnsi" w:cstheme="minorBidi"/>
      <w:szCs w:val="22"/>
      <w:lang w:eastAsia="en-US"/>
    </w:rPr>
  </w:style>
  <w:style w:type="paragraph" w:styleId="BodyText2">
    <w:name w:val="Body Text 2"/>
    <w:basedOn w:val="Normal"/>
    <w:link w:val="BodyText2Char"/>
    <w:rsid w:val="00694501"/>
    <w:pPr>
      <w:spacing w:before="0" w:after="0" w:line="240" w:lineRule="auto"/>
      <w:jc w:val="both"/>
    </w:pPr>
    <w:rPr>
      <w:rFonts w:ascii="Times New Roman" w:hAnsi="Times New Roman"/>
      <w:sz w:val="24"/>
      <w:lang w:val="en-GB" w:eastAsia="en-US"/>
    </w:rPr>
  </w:style>
  <w:style w:type="character" w:customStyle="1" w:styleId="BodyText2Char">
    <w:name w:val="Body Text 2 Char"/>
    <w:basedOn w:val="DefaultParagraphFont"/>
    <w:link w:val="BodyText2"/>
    <w:rsid w:val="00694501"/>
    <w:rPr>
      <w:rFonts w:ascii="Times New Roman" w:hAnsi="Times New Roman" w:cs="Arial"/>
      <w:sz w:val="24"/>
      <w:lang w:val="en-GB" w:eastAsia="en-US"/>
    </w:rPr>
  </w:style>
  <w:style w:type="paragraph" w:customStyle="1" w:styleId="Default">
    <w:name w:val="Default"/>
    <w:rsid w:val="00694501"/>
    <w:pPr>
      <w:autoSpaceDE w:val="0"/>
      <w:autoSpaceDN w:val="0"/>
      <w:adjustRightInd w:val="0"/>
      <w:spacing w:before="0" w:after="0" w:line="240" w:lineRule="auto"/>
    </w:pPr>
    <w:rPr>
      <w:rFonts w:ascii="Arial" w:hAnsi="Arial" w:cs="Arial"/>
      <w:color w:val="000000"/>
      <w:sz w:val="24"/>
      <w:szCs w:val="24"/>
      <w:lang w:val="en-US" w:eastAsia="en-US"/>
    </w:rPr>
  </w:style>
  <w:style w:type="paragraph" w:styleId="NormalWeb">
    <w:name w:val="Normal (Web)"/>
    <w:basedOn w:val="Normal"/>
    <w:uiPriority w:val="99"/>
    <w:unhideWhenUsed/>
    <w:rsid w:val="00694501"/>
    <w:pPr>
      <w:spacing w:before="100" w:beforeAutospacing="1" w:after="100" w:afterAutospacing="1" w:line="240" w:lineRule="auto"/>
    </w:pPr>
    <w:rPr>
      <w:rFonts w:ascii="Times New Roman" w:eastAsia="Calibri" w:hAnsi="Times New Roman"/>
      <w:sz w:val="24"/>
      <w:szCs w:val="24"/>
    </w:rPr>
  </w:style>
  <w:style w:type="character" w:styleId="Emphasis">
    <w:name w:val="Emphasis"/>
    <w:basedOn w:val="DefaultParagraphFont"/>
    <w:uiPriority w:val="20"/>
    <w:qFormat/>
    <w:rsid w:val="00694501"/>
    <w:rPr>
      <w:i/>
      <w:iCs/>
    </w:rPr>
  </w:style>
  <w:style w:type="character" w:styleId="CommentReference">
    <w:name w:val="annotation reference"/>
    <w:basedOn w:val="DefaultParagraphFont"/>
    <w:uiPriority w:val="99"/>
    <w:semiHidden/>
    <w:unhideWhenUsed/>
    <w:rsid w:val="00694501"/>
    <w:rPr>
      <w:sz w:val="16"/>
      <w:szCs w:val="16"/>
    </w:rPr>
  </w:style>
  <w:style w:type="paragraph" w:styleId="CommentText">
    <w:name w:val="annotation text"/>
    <w:basedOn w:val="Normal"/>
    <w:link w:val="CommentTextChar"/>
    <w:uiPriority w:val="99"/>
    <w:unhideWhenUsed/>
    <w:rsid w:val="00694501"/>
    <w:pPr>
      <w:spacing w:before="0" w:after="200" w:line="240" w:lineRule="auto"/>
    </w:pPr>
    <w:rPr>
      <w:rFonts w:eastAsiaTheme="minorHAnsi" w:cstheme="minorBidi"/>
      <w:lang w:eastAsia="en-US"/>
    </w:rPr>
  </w:style>
  <w:style w:type="character" w:customStyle="1" w:styleId="CommentTextChar">
    <w:name w:val="Comment Text Char"/>
    <w:basedOn w:val="DefaultParagraphFont"/>
    <w:link w:val="CommentText"/>
    <w:uiPriority w:val="99"/>
    <w:rsid w:val="00694501"/>
    <w:rPr>
      <w:rFonts w:ascii="Arial" w:eastAsiaTheme="minorHAnsi" w:hAnsi="Arial" w:cstheme="minorBidi"/>
      <w:lang w:eastAsia="en-US"/>
    </w:rPr>
  </w:style>
  <w:style w:type="paragraph" w:styleId="CommentSubject">
    <w:name w:val="annotation subject"/>
    <w:basedOn w:val="CommentText"/>
    <w:next w:val="CommentText"/>
    <w:link w:val="CommentSubjectChar"/>
    <w:uiPriority w:val="99"/>
    <w:semiHidden/>
    <w:unhideWhenUsed/>
    <w:rsid w:val="00694501"/>
    <w:rPr>
      <w:b/>
      <w:bCs/>
    </w:rPr>
  </w:style>
  <w:style w:type="character" w:customStyle="1" w:styleId="CommentSubjectChar">
    <w:name w:val="Comment Subject Char"/>
    <w:basedOn w:val="CommentTextChar"/>
    <w:link w:val="CommentSubject"/>
    <w:uiPriority w:val="99"/>
    <w:semiHidden/>
    <w:rsid w:val="00694501"/>
    <w:rPr>
      <w:rFonts w:ascii="Arial" w:eastAsiaTheme="minorHAnsi" w:hAnsi="Arial" w:cstheme="minorBidi"/>
      <w:b/>
      <w:bCs/>
      <w:lang w:eastAsia="en-US"/>
    </w:rPr>
  </w:style>
  <w:style w:type="paragraph" w:styleId="Revision">
    <w:name w:val="Revision"/>
    <w:hidden/>
    <w:uiPriority w:val="99"/>
    <w:semiHidden/>
    <w:rsid w:val="00694501"/>
    <w:pPr>
      <w:spacing w:before="0" w:after="0" w:line="240" w:lineRule="auto"/>
    </w:pPr>
    <w:rPr>
      <w:rFonts w:ascii="Arial" w:eastAsiaTheme="minorHAnsi" w:hAnsi="Arial" w:cstheme="minorBidi"/>
      <w:sz w:val="22"/>
      <w:szCs w:val="22"/>
      <w:lang w:eastAsia="en-US"/>
    </w:rPr>
  </w:style>
  <w:style w:type="paragraph" w:customStyle="1" w:styleId="TNormal">
    <w:name w:val="T Normal"/>
    <w:basedOn w:val="Normal"/>
    <w:qFormat/>
    <w:rsid w:val="00694501"/>
    <w:pPr>
      <w:spacing w:before="0" w:after="240" w:line="340" w:lineRule="exact"/>
      <w:ind w:left="851"/>
    </w:pPr>
    <w:rPr>
      <w:rFonts w:eastAsiaTheme="minorEastAsia" w:cstheme="minorBidi"/>
      <w:color w:val="000000"/>
      <w:kern w:val="18"/>
      <w:sz w:val="21"/>
      <w:szCs w:val="21"/>
      <w:lang w:eastAsia="en-US"/>
      <w14:ligatures w14:val="standard"/>
      <w14:numSpacing w14:val="proportional"/>
    </w:rPr>
  </w:style>
  <w:style w:type="paragraph" w:styleId="EndnoteText">
    <w:name w:val="endnote text"/>
    <w:basedOn w:val="Normal"/>
    <w:link w:val="EndnoteTextChar"/>
    <w:uiPriority w:val="99"/>
    <w:unhideWhenUsed/>
    <w:rsid w:val="00694501"/>
    <w:pPr>
      <w:spacing w:before="0" w:after="0" w:line="240" w:lineRule="auto"/>
    </w:pPr>
    <w:rPr>
      <w:rFonts w:eastAsiaTheme="minorHAnsi" w:cstheme="minorBidi"/>
      <w:lang w:eastAsia="en-US"/>
    </w:rPr>
  </w:style>
  <w:style w:type="character" w:customStyle="1" w:styleId="EndnoteTextChar">
    <w:name w:val="Endnote Text Char"/>
    <w:basedOn w:val="DefaultParagraphFont"/>
    <w:link w:val="EndnoteText"/>
    <w:uiPriority w:val="99"/>
    <w:rsid w:val="00694501"/>
    <w:rPr>
      <w:rFonts w:ascii="Arial" w:eastAsiaTheme="minorHAnsi" w:hAnsi="Arial" w:cstheme="minorBidi"/>
      <w:lang w:eastAsia="en-US"/>
    </w:rPr>
  </w:style>
  <w:style w:type="character" w:styleId="EndnoteReference">
    <w:name w:val="endnote reference"/>
    <w:basedOn w:val="DefaultParagraphFont"/>
    <w:uiPriority w:val="99"/>
    <w:semiHidden/>
    <w:unhideWhenUsed/>
    <w:rsid w:val="00694501"/>
    <w:rPr>
      <w:vertAlign w:val="superscript"/>
    </w:rPr>
  </w:style>
  <w:style w:type="character" w:styleId="FootnoteReference">
    <w:name w:val="footnote reference"/>
    <w:basedOn w:val="DefaultParagraphFont"/>
    <w:uiPriority w:val="99"/>
    <w:semiHidden/>
    <w:unhideWhenUsed/>
    <w:rsid w:val="00694501"/>
    <w:rPr>
      <w:vertAlign w:val="superscript"/>
    </w:rPr>
  </w:style>
  <w:style w:type="character" w:customStyle="1" w:styleId="normaltextrun">
    <w:name w:val="normaltextrun"/>
    <w:basedOn w:val="DefaultParagraphFont"/>
    <w:rsid w:val="00694501"/>
  </w:style>
  <w:style w:type="paragraph" w:customStyle="1" w:styleId="paragraph">
    <w:name w:val="paragraph"/>
    <w:basedOn w:val="Normal"/>
    <w:rsid w:val="00694501"/>
    <w:pPr>
      <w:spacing w:before="100" w:beforeAutospacing="1" w:after="100" w:afterAutospacing="1" w:line="240" w:lineRule="auto"/>
    </w:pPr>
    <w:rPr>
      <w:rFonts w:ascii="Calibri" w:eastAsia="Calibri" w:hAnsi="Calibri" w:cs="Calibri"/>
      <w:szCs w:val="22"/>
    </w:rPr>
  </w:style>
  <w:style w:type="character" w:customStyle="1" w:styleId="ListParagraphChar">
    <w:name w:val="List Paragraph Char"/>
    <w:basedOn w:val="DefaultParagraphFont"/>
    <w:link w:val="ListParagraph"/>
    <w:uiPriority w:val="34"/>
    <w:rsid w:val="00694501"/>
    <w:rPr>
      <w:rFonts w:ascii="Arial" w:eastAsiaTheme="minorHAnsi" w:hAnsi="Arial" w:cstheme="minorBidi"/>
      <w:sz w:val="22"/>
      <w:szCs w:val="22"/>
      <w:lang w:eastAsia="en-US"/>
    </w:rPr>
  </w:style>
  <w:style w:type="paragraph" w:customStyle="1" w:styleId="Body">
    <w:name w:val="Body"/>
    <w:basedOn w:val="Normal"/>
    <w:link w:val="BodyChar"/>
    <w:rsid w:val="00694501"/>
    <w:pPr>
      <w:spacing w:line="240" w:lineRule="auto"/>
    </w:pPr>
    <w:rPr>
      <w:rFonts w:ascii="Verdana" w:hAnsi="Verdana"/>
      <w:lang w:val="en-GB" w:eastAsia="en-US"/>
    </w:rPr>
  </w:style>
  <w:style w:type="character" w:customStyle="1" w:styleId="BodyChar">
    <w:name w:val="Body Char"/>
    <w:basedOn w:val="DefaultParagraphFont"/>
    <w:link w:val="Body"/>
    <w:rsid w:val="00694501"/>
    <w:rPr>
      <w:rFonts w:ascii="Verdana" w:hAnsi="Verdana"/>
      <w:lang w:val="en-GB" w:eastAsia="en-US"/>
    </w:rPr>
  </w:style>
  <w:style w:type="paragraph" w:customStyle="1" w:styleId="DraftHeading2">
    <w:name w:val="Draft Heading 2"/>
    <w:basedOn w:val="Normal"/>
    <w:next w:val="Normal"/>
    <w:rsid w:val="00694501"/>
    <w:pPr>
      <w:overflowPunct w:val="0"/>
      <w:autoSpaceDE w:val="0"/>
      <w:autoSpaceDN w:val="0"/>
      <w:adjustRightInd w:val="0"/>
      <w:spacing w:after="0" w:line="240" w:lineRule="auto"/>
      <w:textAlignment w:val="baseline"/>
    </w:pPr>
    <w:rPr>
      <w:rFonts w:ascii="Times New Roman" w:hAnsi="Times New Roman"/>
      <w:sz w:val="24"/>
      <w:lang w:eastAsia="en-US"/>
    </w:rPr>
  </w:style>
  <w:style w:type="character" w:styleId="Strong">
    <w:name w:val="Strong"/>
    <w:basedOn w:val="DefaultParagraphFont"/>
    <w:uiPriority w:val="22"/>
    <w:qFormat/>
    <w:rsid w:val="00694501"/>
    <w:rPr>
      <w:rFonts w:asciiTheme="minorHAnsi" w:hAnsiTheme="minorHAnsi"/>
      <w:b/>
      <w:bCs/>
    </w:rPr>
  </w:style>
  <w:style w:type="paragraph" w:customStyle="1" w:styleId="proc1">
    <w:name w:val="proc1"/>
    <w:basedOn w:val="Normal"/>
    <w:link w:val="proc1Char"/>
    <w:qFormat/>
    <w:rsid w:val="00694501"/>
    <w:pPr>
      <w:keepNext/>
      <w:numPr>
        <w:numId w:val="8"/>
      </w:numPr>
      <w:spacing w:before="240" w:after="60" w:line="240" w:lineRule="auto"/>
      <w:outlineLvl w:val="2"/>
    </w:pPr>
    <w:rPr>
      <w:b/>
      <w:bCs/>
      <w:color w:val="0086B2" w:themeColor="accent1" w:themeShade="BF"/>
      <w:sz w:val="24"/>
      <w:szCs w:val="26"/>
    </w:rPr>
  </w:style>
  <w:style w:type="paragraph" w:customStyle="1" w:styleId="proc2">
    <w:name w:val="proc2"/>
    <w:basedOn w:val="Normal"/>
    <w:link w:val="proc2Char"/>
    <w:qFormat/>
    <w:rsid w:val="00694501"/>
    <w:pPr>
      <w:keepNext/>
      <w:keepLines/>
      <w:numPr>
        <w:ilvl w:val="1"/>
        <w:numId w:val="8"/>
      </w:numPr>
      <w:spacing w:before="200" w:after="240" w:line="240" w:lineRule="auto"/>
      <w:outlineLvl w:val="3"/>
    </w:pPr>
    <w:rPr>
      <w:rFonts w:eastAsiaTheme="majorEastAsia" w:cstheme="majorBidi"/>
      <w:b/>
      <w:bCs/>
      <w:iCs/>
      <w:color w:val="0086B2" w:themeColor="accent1" w:themeShade="BF"/>
      <w:szCs w:val="24"/>
    </w:rPr>
  </w:style>
  <w:style w:type="paragraph" w:customStyle="1" w:styleId="proc3">
    <w:name w:val="proc3"/>
    <w:basedOn w:val="Normal"/>
    <w:link w:val="proc3Char"/>
    <w:qFormat/>
    <w:rsid w:val="00694501"/>
    <w:pPr>
      <w:keepNext/>
      <w:numPr>
        <w:ilvl w:val="2"/>
        <w:numId w:val="8"/>
      </w:numPr>
      <w:spacing w:before="240" w:after="60" w:line="240" w:lineRule="auto"/>
      <w:outlineLvl w:val="2"/>
    </w:pPr>
    <w:rPr>
      <w:bCs/>
      <w:color w:val="0086B2" w:themeColor="accent1" w:themeShade="BF"/>
      <w:szCs w:val="26"/>
    </w:rPr>
  </w:style>
  <w:style w:type="paragraph" w:customStyle="1" w:styleId="proc4">
    <w:name w:val="proc4"/>
    <w:basedOn w:val="ListParagraph"/>
    <w:link w:val="proc4Char"/>
    <w:qFormat/>
    <w:rsid w:val="00694501"/>
    <w:pPr>
      <w:numPr>
        <w:ilvl w:val="3"/>
        <w:numId w:val="8"/>
      </w:numPr>
      <w:spacing w:before="240" w:after="120" w:line="240" w:lineRule="auto"/>
      <w:contextualSpacing w:val="0"/>
    </w:pPr>
    <w:rPr>
      <w:i/>
      <w:color w:val="0086B2" w:themeColor="accent1" w:themeShade="BF"/>
    </w:rPr>
  </w:style>
  <w:style w:type="character" w:customStyle="1" w:styleId="proc4Char">
    <w:name w:val="proc4 Char"/>
    <w:basedOn w:val="ListParagraphChar"/>
    <w:link w:val="proc4"/>
    <w:rsid w:val="00694501"/>
    <w:rPr>
      <w:rFonts w:ascii="Arial" w:eastAsiaTheme="minorHAnsi" w:hAnsi="Arial" w:cstheme="minorBidi"/>
      <w:i/>
      <w:color w:val="0086B2" w:themeColor="accent1" w:themeShade="BF"/>
      <w:sz w:val="22"/>
      <w:szCs w:val="22"/>
      <w:lang w:eastAsia="en-US"/>
    </w:rPr>
  </w:style>
  <w:style w:type="paragraph" w:styleId="TableofFigures">
    <w:name w:val="table of figures"/>
    <w:basedOn w:val="Normal"/>
    <w:qFormat/>
    <w:rsid w:val="00694501"/>
    <w:pPr>
      <w:spacing w:before="0" w:after="0" w:line="276" w:lineRule="auto"/>
    </w:pPr>
    <w:rPr>
      <w:rFonts w:eastAsia="MS Mincho"/>
      <w:szCs w:val="24"/>
      <w:lang w:val="en-US" w:eastAsia="en-US"/>
    </w:rPr>
  </w:style>
  <w:style w:type="numbering" w:customStyle="1" w:styleId="ListBullets">
    <w:name w:val="ListBullets"/>
    <w:uiPriority w:val="99"/>
    <w:rsid w:val="00694501"/>
    <w:pPr>
      <w:numPr>
        <w:numId w:val="6"/>
      </w:numPr>
    </w:pPr>
  </w:style>
  <w:style w:type="paragraph" w:styleId="ListBullet4">
    <w:name w:val="List Bullet 4"/>
    <w:basedOn w:val="Normal"/>
    <w:rsid w:val="00694501"/>
    <w:pPr>
      <w:tabs>
        <w:tab w:val="num" w:pos="1431"/>
      </w:tabs>
      <w:spacing w:before="0" w:line="276" w:lineRule="auto"/>
      <w:ind w:left="1428" w:hanging="357"/>
    </w:pPr>
    <w:rPr>
      <w:rFonts w:eastAsia="MS Mincho"/>
      <w:szCs w:val="24"/>
      <w:lang w:eastAsia="en-US"/>
    </w:rPr>
  </w:style>
  <w:style w:type="paragraph" w:styleId="ListBullet5">
    <w:name w:val="List Bullet 5"/>
    <w:basedOn w:val="Normal"/>
    <w:rsid w:val="00694501"/>
    <w:pPr>
      <w:tabs>
        <w:tab w:val="num" w:pos="1788"/>
      </w:tabs>
      <w:spacing w:before="0" w:line="276" w:lineRule="auto"/>
      <w:ind w:left="1785" w:hanging="357"/>
    </w:pPr>
    <w:rPr>
      <w:rFonts w:eastAsia="MS Mincho"/>
      <w:szCs w:val="24"/>
      <w:lang w:eastAsia="en-US"/>
    </w:rPr>
  </w:style>
  <w:style w:type="character" w:customStyle="1" w:styleId="proc2Char">
    <w:name w:val="proc2 Char"/>
    <w:basedOn w:val="DefaultParagraphFont"/>
    <w:link w:val="proc2"/>
    <w:rsid w:val="00694501"/>
    <w:rPr>
      <w:rFonts w:eastAsiaTheme="majorEastAsia" w:cstheme="majorBidi"/>
      <w:b/>
      <w:bCs/>
      <w:iCs/>
      <w:color w:val="0086B2" w:themeColor="accent1" w:themeShade="BF"/>
      <w:sz w:val="22"/>
      <w:szCs w:val="24"/>
    </w:rPr>
  </w:style>
  <w:style w:type="character" w:customStyle="1" w:styleId="proc3Char">
    <w:name w:val="proc3 Char"/>
    <w:basedOn w:val="DefaultParagraphFont"/>
    <w:link w:val="proc3"/>
    <w:rsid w:val="00694501"/>
    <w:rPr>
      <w:rFonts w:cs="Arial"/>
      <w:bCs/>
      <w:color w:val="0086B2" w:themeColor="accent1" w:themeShade="BF"/>
      <w:sz w:val="22"/>
      <w:szCs w:val="26"/>
    </w:rPr>
  </w:style>
  <w:style w:type="character" w:customStyle="1" w:styleId="proc1Char">
    <w:name w:val="proc1 Char"/>
    <w:basedOn w:val="DefaultParagraphFont"/>
    <w:link w:val="proc1"/>
    <w:rsid w:val="00694501"/>
    <w:rPr>
      <w:rFonts w:cs="Arial"/>
      <w:b/>
      <w:bCs/>
      <w:color w:val="0086B2" w:themeColor="accent1" w:themeShade="BF"/>
      <w:sz w:val="24"/>
      <w:szCs w:val="26"/>
    </w:rPr>
  </w:style>
  <w:style w:type="character" w:styleId="UnresolvedMention">
    <w:name w:val="Unresolved Mention"/>
    <w:basedOn w:val="DefaultParagraphFont"/>
    <w:uiPriority w:val="99"/>
    <w:semiHidden/>
    <w:unhideWhenUsed/>
    <w:rsid w:val="00694501"/>
    <w:rPr>
      <w:color w:val="605E5C"/>
      <w:shd w:val="clear" w:color="auto" w:fill="E1DFDD"/>
    </w:rPr>
  </w:style>
  <w:style w:type="paragraph" w:styleId="TOC4">
    <w:name w:val="toc 4"/>
    <w:basedOn w:val="Normal"/>
    <w:next w:val="Normal"/>
    <w:autoRedefine/>
    <w:uiPriority w:val="39"/>
    <w:unhideWhenUsed/>
    <w:rsid w:val="00694501"/>
    <w:pPr>
      <w:spacing w:before="0" w:after="0" w:line="276" w:lineRule="auto"/>
      <w:ind w:left="660"/>
    </w:pPr>
    <w:rPr>
      <w:rFonts w:eastAsiaTheme="minorHAnsi" w:cstheme="minorHAnsi"/>
      <w:sz w:val="18"/>
      <w:szCs w:val="18"/>
      <w:lang w:eastAsia="en-US"/>
    </w:rPr>
  </w:style>
  <w:style w:type="paragraph" w:styleId="TOC5">
    <w:name w:val="toc 5"/>
    <w:basedOn w:val="Normal"/>
    <w:next w:val="Normal"/>
    <w:autoRedefine/>
    <w:uiPriority w:val="39"/>
    <w:unhideWhenUsed/>
    <w:rsid w:val="00694501"/>
    <w:pPr>
      <w:spacing w:before="0" w:after="0" w:line="276" w:lineRule="auto"/>
      <w:ind w:left="880"/>
    </w:pPr>
    <w:rPr>
      <w:rFonts w:eastAsiaTheme="minorHAnsi" w:cstheme="minorHAnsi"/>
      <w:sz w:val="18"/>
      <w:szCs w:val="18"/>
      <w:lang w:eastAsia="en-US"/>
    </w:rPr>
  </w:style>
  <w:style w:type="paragraph" w:styleId="TOC6">
    <w:name w:val="toc 6"/>
    <w:basedOn w:val="Normal"/>
    <w:next w:val="Normal"/>
    <w:autoRedefine/>
    <w:uiPriority w:val="39"/>
    <w:unhideWhenUsed/>
    <w:rsid w:val="00694501"/>
    <w:pPr>
      <w:spacing w:before="0" w:after="0" w:line="276" w:lineRule="auto"/>
      <w:ind w:left="1100"/>
    </w:pPr>
    <w:rPr>
      <w:rFonts w:eastAsiaTheme="minorHAnsi" w:cstheme="minorHAnsi"/>
      <w:sz w:val="18"/>
      <w:szCs w:val="18"/>
      <w:lang w:eastAsia="en-US"/>
    </w:rPr>
  </w:style>
  <w:style w:type="paragraph" w:styleId="TOC7">
    <w:name w:val="toc 7"/>
    <w:basedOn w:val="Normal"/>
    <w:next w:val="Normal"/>
    <w:autoRedefine/>
    <w:uiPriority w:val="39"/>
    <w:unhideWhenUsed/>
    <w:rsid w:val="00694501"/>
    <w:pPr>
      <w:spacing w:before="0" w:after="0" w:line="276" w:lineRule="auto"/>
      <w:ind w:left="1320"/>
    </w:pPr>
    <w:rPr>
      <w:rFonts w:eastAsiaTheme="minorHAnsi" w:cstheme="minorHAnsi"/>
      <w:sz w:val="18"/>
      <w:szCs w:val="18"/>
      <w:lang w:eastAsia="en-US"/>
    </w:rPr>
  </w:style>
  <w:style w:type="paragraph" w:styleId="TOC8">
    <w:name w:val="toc 8"/>
    <w:basedOn w:val="Normal"/>
    <w:next w:val="Normal"/>
    <w:autoRedefine/>
    <w:uiPriority w:val="39"/>
    <w:unhideWhenUsed/>
    <w:rsid w:val="00694501"/>
    <w:pPr>
      <w:spacing w:before="0" w:after="0" w:line="276" w:lineRule="auto"/>
      <w:ind w:left="1540"/>
    </w:pPr>
    <w:rPr>
      <w:rFonts w:eastAsiaTheme="minorHAnsi" w:cstheme="minorHAnsi"/>
      <w:sz w:val="18"/>
      <w:szCs w:val="18"/>
      <w:lang w:eastAsia="en-US"/>
    </w:rPr>
  </w:style>
  <w:style w:type="paragraph" w:styleId="TOC9">
    <w:name w:val="toc 9"/>
    <w:basedOn w:val="Normal"/>
    <w:next w:val="Normal"/>
    <w:autoRedefine/>
    <w:uiPriority w:val="39"/>
    <w:unhideWhenUsed/>
    <w:rsid w:val="00694501"/>
    <w:pPr>
      <w:spacing w:before="0" w:after="0" w:line="276" w:lineRule="auto"/>
      <w:ind w:left="1760"/>
    </w:pPr>
    <w:rPr>
      <w:rFonts w:eastAsiaTheme="minorHAnsi" w:cstheme="minorHAnsi"/>
      <w:sz w:val="18"/>
      <w:szCs w:val="18"/>
      <w:lang w:eastAsia="en-US"/>
    </w:rPr>
  </w:style>
  <w:style w:type="paragraph" w:customStyle="1" w:styleId="ppnum1">
    <w:name w:val="ppnum1"/>
    <w:basedOn w:val="Normal"/>
    <w:rsid w:val="00694501"/>
    <w:pPr>
      <w:numPr>
        <w:numId w:val="7"/>
      </w:numPr>
      <w:spacing w:before="0" w:after="200" w:line="276" w:lineRule="auto"/>
    </w:pPr>
    <w:rPr>
      <w:rFonts w:eastAsiaTheme="minorHAnsi" w:cstheme="minorBidi"/>
      <w:szCs w:val="22"/>
      <w:lang w:eastAsia="en-US"/>
    </w:rPr>
  </w:style>
  <w:style w:type="paragraph" w:customStyle="1" w:styleId="ppnum2">
    <w:name w:val="ppnum2"/>
    <w:basedOn w:val="Normal"/>
    <w:rsid w:val="00694501"/>
    <w:pPr>
      <w:numPr>
        <w:ilvl w:val="1"/>
        <w:numId w:val="7"/>
      </w:numPr>
      <w:spacing w:before="0" w:after="200" w:line="276" w:lineRule="auto"/>
    </w:pPr>
    <w:rPr>
      <w:rFonts w:eastAsiaTheme="minorHAnsi" w:cstheme="minorBidi"/>
      <w:szCs w:val="22"/>
      <w:lang w:eastAsia="en-US"/>
    </w:rPr>
  </w:style>
  <w:style w:type="paragraph" w:customStyle="1" w:styleId="PolicyBody">
    <w:name w:val="Policy Body"/>
    <w:basedOn w:val="Normal"/>
    <w:link w:val="PolicyBodyChar"/>
    <w:qFormat/>
    <w:rsid w:val="00694501"/>
    <w:pPr>
      <w:spacing w:before="100" w:beforeAutospacing="1" w:after="100" w:afterAutospacing="1" w:line="279" w:lineRule="exact"/>
      <w:textAlignment w:val="baseline"/>
    </w:pPr>
    <w:rPr>
      <w:rFonts w:ascii="Gill Sans MT" w:eastAsia="Gill Sans MT" w:hAnsi="Gill Sans MT"/>
      <w:color w:val="000000"/>
      <w:spacing w:val="-1"/>
      <w:sz w:val="24"/>
      <w:szCs w:val="22"/>
      <w:lang w:val="en-US" w:eastAsia="en-US"/>
    </w:rPr>
  </w:style>
  <w:style w:type="character" w:customStyle="1" w:styleId="PolicyBodyChar">
    <w:name w:val="Policy Body Char"/>
    <w:basedOn w:val="DefaultParagraphFont"/>
    <w:link w:val="PolicyBody"/>
    <w:rsid w:val="00694501"/>
    <w:rPr>
      <w:rFonts w:ascii="Gill Sans MT" w:eastAsia="Gill Sans MT" w:hAnsi="Gill Sans MT"/>
      <w:color w:val="000000"/>
      <w:spacing w:val="-1"/>
      <w:sz w:val="24"/>
      <w:szCs w:val="22"/>
      <w:lang w:val="en-US" w:eastAsia="en-US"/>
    </w:rPr>
  </w:style>
  <w:style w:type="paragraph" w:customStyle="1" w:styleId="TableParagraph">
    <w:name w:val="Table Paragraph"/>
    <w:basedOn w:val="Normal"/>
    <w:uiPriority w:val="1"/>
    <w:qFormat/>
    <w:rsid w:val="00023AA8"/>
    <w:pPr>
      <w:widowControl w:val="0"/>
      <w:spacing w:before="0" w:after="0" w:line="278" w:lineRule="auto"/>
      <w:ind w:left="107"/>
    </w:pPr>
    <w:rPr>
      <w:rFonts w:eastAsia="Calibri" w:cs="Calibri"/>
      <w:kern w:val="2"/>
      <w:szCs w:val="22"/>
      <w:lang w:val="en-US" w:eastAsia="en-US"/>
      <w14:ligatures w14:val="standardContextual"/>
    </w:rPr>
  </w:style>
  <w:style w:type="character" w:styleId="BookTitle">
    <w:name w:val="Book Title"/>
    <w:basedOn w:val="DefaultParagraphFont"/>
    <w:uiPriority w:val="33"/>
    <w:rsid w:val="007822A5"/>
    <w:rPr>
      <w:b/>
      <w:bCs/>
      <w:i/>
      <w:iCs/>
      <w:spacing w:val="5"/>
    </w:rPr>
  </w:style>
  <w:style w:type="character" w:styleId="IntenseEmphasis">
    <w:name w:val="Intense Emphasis"/>
    <w:basedOn w:val="DefaultParagraphFont"/>
    <w:uiPriority w:val="21"/>
    <w:rsid w:val="007822A5"/>
    <w:rPr>
      <w:i/>
      <w:iCs/>
      <w:color w:val="00B4EE" w:themeColor="accent1"/>
    </w:rPr>
  </w:style>
  <w:style w:type="paragraph" w:styleId="IntenseQuote">
    <w:name w:val="Intense Quote"/>
    <w:basedOn w:val="Normal"/>
    <w:next w:val="Normal"/>
    <w:link w:val="IntenseQuoteChar"/>
    <w:uiPriority w:val="30"/>
    <w:rsid w:val="007822A5"/>
    <w:pPr>
      <w:pBdr>
        <w:top w:val="single" w:sz="4" w:space="10" w:color="00B4EE" w:themeColor="accent1"/>
        <w:bottom w:val="single" w:sz="4" w:space="10" w:color="00B4EE" w:themeColor="accent1"/>
      </w:pBdr>
      <w:spacing w:before="360" w:after="360"/>
      <w:ind w:left="864" w:right="864"/>
      <w:jc w:val="center"/>
    </w:pPr>
    <w:rPr>
      <w:i/>
      <w:iCs/>
      <w:color w:val="00B4EE" w:themeColor="accent1"/>
    </w:rPr>
  </w:style>
  <w:style w:type="character" w:customStyle="1" w:styleId="IntenseQuoteChar">
    <w:name w:val="Intense Quote Char"/>
    <w:basedOn w:val="DefaultParagraphFont"/>
    <w:link w:val="IntenseQuote"/>
    <w:uiPriority w:val="30"/>
    <w:rsid w:val="007822A5"/>
    <w:rPr>
      <w:i/>
      <w:iCs/>
      <w:color w:val="00B4EE" w:themeColor="accent1"/>
    </w:rPr>
  </w:style>
  <w:style w:type="character" w:styleId="IntenseReference">
    <w:name w:val="Intense Reference"/>
    <w:basedOn w:val="DefaultParagraphFont"/>
    <w:uiPriority w:val="32"/>
    <w:rsid w:val="007822A5"/>
    <w:rPr>
      <w:b/>
      <w:bCs/>
      <w:smallCaps/>
      <w:color w:val="00B4EE" w:themeColor="accent1"/>
      <w:spacing w:val="5"/>
    </w:rPr>
  </w:style>
  <w:style w:type="paragraph" w:styleId="Quote">
    <w:name w:val="Quote"/>
    <w:basedOn w:val="Normal"/>
    <w:next w:val="Normal"/>
    <w:link w:val="QuoteChar"/>
    <w:uiPriority w:val="29"/>
    <w:rsid w:val="007822A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822A5"/>
    <w:rPr>
      <w:i/>
      <w:iCs/>
      <w:color w:val="404040" w:themeColor="text1" w:themeTint="BF"/>
    </w:rPr>
  </w:style>
  <w:style w:type="character" w:styleId="SubtleEmphasis">
    <w:name w:val="Subtle Emphasis"/>
    <w:basedOn w:val="DefaultParagraphFont"/>
    <w:uiPriority w:val="19"/>
    <w:rsid w:val="007822A5"/>
    <w:rPr>
      <w:i/>
      <w:iCs/>
      <w:color w:val="404040" w:themeColor="text1" w:themeTint="BF"/>
    </w:rPr>
  </w:style>
  <w:style w:type="character" w:styleId="SubtleReference">
    <w:name w:val="Subtle Reference"/>
    <w:basedOn w:val="DefaultParagraphFont"/>
    <w:uiPriority w:val="31"/>
    <w:rsid w:val="007822A5"/>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legislation.vic.gov.au/Domino/Web_Notes/LDMS/PubLawToday.nsf/95c43dd4eac71a68ca256dde00056e7b/f1e66cda63148685ca2577530015f3df!OpenDocument" TargetMode="Externa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_rels/header6.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CoY">
      <a:dk1>
        <a:sysClr val="windowText" lastClr="000000"/>
      </a:dk1>
      <a:lt1>
        <a:sysClr val="window" lastClr="FFFFFF"/>
      </a:lt1>
      <a:dk2>
        <a:srgbClr val="E6E7E8"/>
      </a:dk2>
      <a:lt2>
        <a:srgbClr val="F1F2F2"/>
      </a:lt2>
      <a:accent1>
        <a:srgbClr val="00B4EE"/>
      </a:accent1>
      <a:accent2>
        <a:srgbClr val="006CCD"/>
      </a:accent2>
      <a:accent3>
        <a:srgbClr val="7ED2FF"/>
      </a:accent3>
      <a:accent4>
        <a:srgbClr val="0093EA"/>
      </a:accent4>
      <a:accent5>
        <a:srgbClr val="184398"/>
      </a:accent5>
      <a:accent6>
        <a:srgbClr val="00AFAE"/>
      </a:accent6>
      <a:hlink>
        <a:srgbClr val="184398"/>
      </a:hlink>
      <a:folHlink>
        <a:srgbClr val="990099"/>
      </a:folHlink>
    </a:clrScheme>
    <a:fontScheme name="Arial">
      <a:majorFont>
        <a:latin typeface="Arial" panose="020F0302020204030204"/>
        <a:ea typeface="Arial"/>
        <a:cs typeface="Arial"/>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F0502020204030204"/>
        <a:ea typeface="Arial"/>
        <a:cs typeface="Arial"/>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7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F04261-AAC4-4F1E-A20C-C59837090215}">
  <we:reference id="wa200010453" version="1.0.0.1" store="en-US" storeType="OMEX"/>
  <we:alternateReferences>
    <we:reference id="WA200010453" version="1.0.0.1" store="WA200010453" storeType="OMEX"/>
  </we:alternateReferences>
  <we:properties>
    <we:property name="claude.fileId" value="&quot;1a6fb92a-7e62-402b-8a36-4fd2375809fb&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BE126E2E932D42B643207D1234BF11" ma:contentTypeVersion="19" ma:contentTypeDescription="Create a new document." ma:contentTypeScope="" ma:versionID="f7c3d760b7e9edf08faa9de62ecd6e9f">
  <xsd:schema xmlns:xsd="http://www.w3.org/2001/XMLSchema" xmlns:xs="http://www.w3.org/2001/XMLSchema" xmlns:p="http://schemas.microsoft.com/office/2006/metadata/properties" xmlns:ns2="4931b19a-bc15-466b-8547-60d517742c6a" xmlns:ns3="e9d433b0-dbc2-48fa-8459-4f544e2e0113" targetNamespace="http://schemas.microsoft.com/office/2006/metadata/properties" ma:root="true" ma:fieldsID="beff9465b74c8be2e1b6968ed89ec91e" ns2:_="" ns3:_="">
    <xsd:import namespace="4931b19a-bc15-466b-8547-60d517742c6a"/>
    <xsd:import namespace="e9d433b0-dbc2-48fa-8459-4f544e2e011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31b19a-bc15-466b-8547-60d517742c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d68ec3d-0616-42eb-809d-f5cd6076b1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d433b0-dbc2-48fa-8459-4f544e2e011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ef3230f-192e-4e23-8f67-8870c15dfd74}" ma:internalName="TaxCatchAll" ma:showField="CatchAllData" ma:web="e9d433b0-dbc2-48fa-8459-4f544e2e01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931b19a-bc15-466b-8547-60d517742c6a">
      <Terms xmlns="http://schemas.microsoft.com/office/infopath/2007/PartnerControls"/>
    </lcf76f155ced4ddcb4097134ff3c332f>
    <TaxCatchAll xmlns="e9d433b0-dbc2-48fa-8459-4f544e2e011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535ED1-AA72-42AC-BECD-47E9B4FF6A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31b19a-bc15-466b-8547-60d517742c6a"/>
    <ds:schemaRef ds:uri="e9d433b0-dbc2-48fa-8459-4f544e2e01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4021B2-E5DD-40B1-886F-08CA70E165A7}">
  <ds:schemaRefs>
    <ds:schemaRef ds:uri="http://schemas.microsoft.com/sharepoint/v3/contenttype/forms"/>
  </ds:schemaRefs>
</ds:datastoreItem>
</file>

<file path=customXml/itemProps3.xml><?xml version="1.0" encoding="utf-8"?>
<ds:datastoreItem xmlns:ds="http://schemas.openxmlformats.org/officeDocument/2006/customXml" ds:itemID="{D5028A33-FF22-466C-8029-78F32AEA1D48}">
  <ds:schemaRefs>
    <ds:schemaRef ds:uri="http://schemas.microsoft.com/office/2006/metadata/properties"/>
    <ds:schemaRef ds:uri="http://schemas.microsoft.com/office/infopath/2007/PartnerControls"/>
    <ds:schemaRef ds:uri="4931b19a-bc15-466b-8547-60d517742c6a"/>
    <ds:schemaRef ds:uri="e9d433b0-dbc2-48fa-8459-4f544e2e0113"/>
  </ds:schemaRefs>
</ds:datastoreItem>
</file>

<file path=customXml/itemProps4.xml><?xml version="1.0" encoding="utf-8"?>
<ds:datastoreItem xmlns:ds="http://schemas.openxmlformats.org/officeDocument/2006/customXml" ds:itemID="{E6596213-CB76-479C-A2CA-68232D746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13715</Words>
  <Characters>78176</Characters>
  <Application>Microsoft Office Word</Application>
  <DocSecurity>0</DocSecurity>
  <Lines>2895</Lines>
  <Paragraphs>1392</Paragraphs>
  <ScaleCrop>false</ScaleCrop>
  <Company/>
  <LinksUpToDate>false</LinksUpToDate>
  <CharactersWithSpaces>90499</CharactersWithSpaces>
  <SharedDoc>false</SharedDoc>
  <HLinks>
    <vt:vector size="342" baseType="variant">
      <vt:variant>
        <vt:i4>7143434</vt:i4>
      </vt:variant>
      <vt:variant>
        <vt:i4>339</vt:i4>
      </vt:variant>
      <vt:variant>
        <vt:i4>0</vt:i4>
      </vt:variant>
      <vt:variant>
        <vt:i4>5</vt:i4>
      </vt:variant>
      <vt:variant>
        <vt:lpwstr>http://www.legislation.vic.gov.au/Domino/Web_Notes/LDMS/PubLawToday.nsf/95c43dd4eac71a68ca256dde00056e7b/f1e66cda63148685ca2577530015f3df!OpenDocument</vt:lpwstr>
      </vt:variant>
      <vt:variant>
        <vt:lpwstr/>
      </vt:variant>
      <vt:variant>
        <vt:i4>1638453</vt:i4>
      </vt:variant>
      <vt:variant>
        <vt:i4>332</vt:i4>
      </vt:variant>
      <vt:variant>
        <vt:i4>0</vt:i4>
      </vt:variant>
      <vt:variant>
        <vt:i4>5</vt:i4>
      </vt:variant>
      <vt:variant>
        <vt:lpwstr/>
      </vt:variant>
      <vt:variant>
        <vt:lpwstr>_Toc240536494</vt:lpwstr>
      </vt:variant>
      <vt:variant>
        <vt:i4>1638453</vt:i4>
      </vt:variant>
      <vt:variant>
        <vt:i4>326</vt:i4>
      </vt:variant>
      <vt:variant>
        <vt:i4>0</vt:i4>
      </vt:variant>
      <vt:variant>
        <vt:i4>5</vt:i4>
      </vt:variant>
      <vt:variant>
        <vt:lpwstr/>
      </vt:variant>
      <vt:variant>
        <vt:lpwstr>_Toc240536493</vt:lpwstr>
      </vt:variant>
      <vt:variant>
        <vt:i4>1638453</vt:i4>
      </vt:variant>
      <vt:variant>
        <vt:i4>320</vt:i4>
      </vt:variant>
      <vt:variant>
        <vt:i4>0</vt:i4>
      </vt:variant>
      <vt:variant>
        <vt:i4>5</vt:i4>
      </vt:variant>
      <vt:variant>
        <vt:lpwstr/>
      </vt:variant>
      <vt:variant>
        <vt:lpwstr>_Toc240536492</vt:lpwstr>
      </vt:variant>
      <vt:variant>
        <vt:i4>1638453</vt:i4>
      </vt:variant>
      <vt:variant>
        <vt:i4>314</vt:i4>
      </vt:variant>
      <vt:variant>
        <vt:i4>0</vt:i4>
      </vt:variant>
      <vt:variant>
        <vt:i4>5</vt:i4>
      </vt:variant>
      <vt:variant>
        <vt:lpwstr/>
      </vt:variant>
      <vt:variant>
        <vt:lpwstr>_Toc240536491</vt:lpwstr>
      </vt:variant>
      <vt:variant>
        <vt:i4>1638453</vt:i4>
      </vt:variant>
      <vt:variant>
        <vt:i4>308</vt:i4>
      </vt:variant>
      <vt:variant>
        <vt:i4>0</vt:i4>
      </vt:variant>
      <vt:variant>
        <vt:i4>5</vt:i4>
      </vt:variant>
      <vt:variant>
        <vt:lpwstr/>
      </vt:variant>
      <vt:variant>
        <vt:lpwstr>_Toc240536490</vt:lpwstr>
      </vt:variant>
      <vt:variant>
        <vt:i4>1572917</vt:i4>
      </vt:variant>
      <vt:variant>
        <vt:i4>302</vt:i4>
      </vt:variant>
      <vt:variant>
        <vt:i4>0</vt:i4>
      </vt:variant>
      <vt:variant>
        <vt:i4>5</vt:i4>
      </vt:variant>
      <vt:variant>
        <vt:lpwstr/>
      </vt:variant>
      <vt:variant>
        <vt:lpwstr>_Toc240536489</vt:lpwstr>
      </vt:variant>
      <vt:variant>
        <vt:i4>1572917</vt:i4>
      </vt:variant>
      <vt:variant>
        <vt:i4>296</vt:i4>
      </vt:variant>
      <vt:variant>
        <vt:i4>0</vt:i4>
      </vt:variant>
      <vt:variant>
        <vt:i4>5</vt:i4>
      </vt:variant>
      <vt:variant>
        <vt:lpwstr/>
      </vt:variant>
      <vt:variant>
        <vt:lpwstr>_Toc240536488</vt:lpwstr>
      </vt:variant>
      <vt:variant>
        <vt:i4>1572917</vt:i4>
      </vt:variant>
      <vt:variant>
        <vt:i4>290</vt:i4>
      </vt:variant>
      <vt:variant>
        <vt:i4>0</vt:i4>
      </vt:variant>
      <vt:variant>
        <vt:i4>5</vt:i4>
      </vt:variant>
      <vt:variant>
        <vt:lpwstr/>
      </vt:variant>
      <vt:variant>
        <vt:lpwstr>_Toc240536487</vt:lpwstr>
      </vt:variant>
      <vt:variant>
        <vt:i4>1572917</vt:i4>
      </vt:variant>
      <vt:variant>
        <vt:i4>284</vt:i4>
      </vt:variant>
      <vt:variant>
        <vt:i4>0</vt:i4>
      </vt:variant>
      <vt:variant>
        <vt:i4>5</vt:i4>
      </vt:variant>
      <vt:variant>
        <vt:lpwstr/>
      </vt:variant>
      <vt:variant>
        <vt:lpwstr>_Toc240536486</vt:lpwstr>
      </vt:variant>
      <vt:variant>
        <vt:i4>1572917</vt:i4>
      </vt:variant>
      <vt:variant>
        <vt:i4>278</vt:i4>
      </vt:variant>
      <vt:variant>
        <vt:i4>0</vt:i4>
      </vt:variant>
      <vt:variant>
        <vt:i4>5</vt:i4>
      </vt:variant>
      <vt:variant>
        <vt:lpwstr/>
      </vt:variant>
      <vt:variant>
        <vt:lpwstr>_Toc240536485</vt:lpwstr>
      </vt:variant>
      <vt:variant>
        <vt:i4>1572917</vt:i4>
      </vt:variant>
      <vt:variant>
        <vt:i4>272</vt:i4>
      </vt:variant>
      <vt:variant>
        <vt:i4>0</vt:i4>
      </vt:variant>
      <vt:variant>
        <vt:i4>5</vt:i4>
      </vt:variant>
      <vt:variant>
        <vt:lpwstr/>
      </vt:variant>
      <vt:variant>
        <vt:lpwstr>_Toc240536484</vt:lpwstr>
      </vt:variant>
      <vt:variant>
        <vt:i4>1572917</vt:i4>
      </vt:variant>
      <vt:variant>
        <vt:i4>266</vt:i4>
      </vt:variant>
      <vt:variant>
        <vt:i4>0</vt:i4>
      </vt:variant>
      <vt:variant>
        <vt:i4>5</vt:i4>
      </vt:variant>
      <vt:variant>
        <vt:lpwstr/>
      </vt:variant>
      <vt:variant>
        <vt:lpwstr>_Toc240536483</vt:lpwstr>
      </vt:variant>
      <vt:variant>
        <vt:i4>1572917</vt:i4>
      </vt:variant>
      <vt:variant>
        <vt:i4>260</vt:i4>
      </vt:variant>
      <vt:variant>
        <vt:i4>0</vt:i4>
      </vt:variant>
      <vt:variant>
        <vt:i4>5</vt:i4>
      </vt:variant>
      <vt:variant>
        <vt:lpwstr/>
      </vt:variant>
      <vt:variant>
        <vt:lpwstr>_Toc240536482</vt:lpwstr>
      </vt:variant>
      <vt:variant>
        <vt:i4>1572917</vt:i4>
      </vt:variant>
      <vt:variant>
        <vt:i4>254</vt:i4>
      </vt:variant>
      <vt:variant>
        <vt:i4>0</vt:i4>
      </vt:variant>
      <vt:variant>
        <vt:i4>5</vt:i4>
      </vt:variant>
      <vt:variant>
        <vt:lpwstr/>
      </vt:variant>
      <vt:variant>
        <vt:lpwstr>_Toc240536481</vt:lpwstr>
      </vt:variant>
      <vt:variant>
        <vt:i4>1572917</vt:i4>
      </vt:variant>
      <vt:variant>
        <vt:i4>248</vt:i4>
      </vt:variant>
      <vt:variant>
        <vt:i4>0</vt:i4>
      </vt:variant>
      <vt:variant>
        <vt:i4>5</vt:i4>
      </vt:variant>
      <vt:variant>
        <vt:lpwstr/>
      </vt:variant>
      <vt:variant>
        <vt:lpwstr>_Toc240536480</vt:lpwstr>
      </vt:variant>
      <vt:variant>
        <vt:i4>1507381</vt:i4>
      </vt:variant>
      <vt:variant>
        <vt:i4>242</vt:i4>
      </vt:variant>
      <vt:variant>
        <vt:i4>0</vt:i4>
      </vt:variant>
      <vt:variant>
        <vt:i4>5</vt:i4>
      </vt:variant>
      <vt:variant>
        <vt:lpwstr/>
      </vt:variant>
      <vt:variant>
        <vt:lpwstr>_Toc240536479</vt:lpwstr>
      </vt:variant>
      <vt:variant>
        <vt:i4>1507381</vt:i4>
      </vt:variant>
      <vt:variant>
        <vt:i4>236</vt:i4>
      </vt:variant>
      <vt:variant>
        <vt:i4>0</vt:i4>
      </vt:variant>
      <vt:variant>
        <vt:i4>5</vt:i4>
      </vt:variant>
      <vt:variant>
        <vt:lpwstr/>
      </vt:variant>
      <vt:variant>
        <vt:lpwstr>_Toc240536478</vt:lpwstr>
      </vt:variant>
      <vt:variant>
        <vt:i4>1507381</vt:i4>
      </vt:variant>
      <vt:variant>
        <vt:i4>230</vt:i4>
      </vt:variant>
      <vt:variant>
        <vt:i4>0</vt:i4>
      </vt:variant>
      <vt:variant>
        <vt:i4>5</vt:i4>
      </vt:variant>
      <vt:variant>
        <vt:lpwstr/>
      </vt:variant>
      <vt:variant>
        <vt:lpwstr>_Toc240536477</vt:lpwstr>
      </vt:variant>
      <vt:variant>
        <vt:i4>1507381</vt:i4>
      </vt:variant>
      <vt:variant>
        <vt:i4>224</vt:i4>
      </vt:variant>
      <vt:variant>
        <vt:i4>0</vt:i4>
      </vt:variant>
      <vt:variant>
        <vt:i4>5</vt:i4>
      </vt:variant>
      <vt:variant>
        <vt:lpwstr/>
      </vt:variant>
      <vt:variant>
        <vt:lpwstr>_Toc240536476</vt:lpwstr>
      </vt:variant>
      <vt:variant>
        <vt:i4>1507381</vt:i4>
      </vt:variant>
      <vt:variant>
        <vt:i4>218</vt:i4>
      </vt:variant>
      <vt:variant>
        <vt:i4>0</vt:i4>
      </vt:variant>
      <vt:variant>
        <vt:i4>5</vt:i4>
      </vt:variant>
      <vt:variant>
        <vt:lpwstr/>
      </vt:variant>
      <vt:variant>
        <vt:lpwstr>_Toc240536475</vt:lpwstr>
      </vt:variant>
      <vt:variant>
        <vt:i4>1507381</vt:i4>
      </vt:variant>
      <vt:variant>
        <vt:i4>212</vt:i4>
      </vt:variant>
      <vt:variant>
        <vt:i4>0</vt:i4>
      </vt:variant>
      <vt:variant>
        <vt:i4>5</vt:i4>
      </vt:variant>
      <vt:variant>
        <vt:lpwstr/>
      </vt:variant>
      <vt:variant>
        <vt:lpwstr>_Toc240536474</vt:lpwstr>
      </vt:variant>
      <vt:variant>
        <vt:i4>1507381</vt:i4>
      </vt:variant>
      <vt:variant>
        <vt:i4>206</vt:i4>
      </vt:variant>
      <vt:variant>
        <vt:i4>0</vt:i4>
      </vt:variant>
      <vt:variant>
        <vt:i4>5</vt:i4>
      </vt:variant>
      <vt:variant>
        <vt:lpwstr/>
      </vt:variant>
      <vt:variant>
        <vt:lpwstr>_Toc240536473</vt:lpwstr>
      </vt:variant>
      <vt:variant>
        <vt:i4>1507381</vt:i4>
      </vt:variant>
      <vt:variant>
        <vt:i4>200</vt:i4>
      </vt:variant>
      <vt:variant>
        <vt:i4>0</vt:i4>
      </vt:variant>
      <vt:variant>
        <vt:i4>5</vt:i4>
      </vt:variant>
      <vt:variant>
        <vt:lpwstr/>
      </vt:variant>
      <vt:variant>
        <vt:lpwstr>_Toc240536472</vt:lpwstr>
      </vt:variant>
      <vt:variant>
        <vt:i4>1507381</vt:i4>
      </vt:variant>
      <vt:variant>
        <vt:i4>194</vt:i4>
      </vt:variant>
      <vt:variant>
        <vt:i4>0</vt:i4>
      </vt:variant>
      <vt:variant>
        <vt:i4>5</vt:i4>
      </vt:variant>
      <vt:variant>
        <vt:lpwstr/>
      </vt:variant>
      <vt:variant>
        <vt:lpwstr>_Toc240536471</vt:lpwstr>
      </vt:variant>
      <vt:variant>
        <vt:i4>1507381</vt:i4>
      </vt:variant>
      <vt:variant>
        <vt:i4>188</vt:i4>
      </vt:variant>
      <vt:variant>
        <vt:i4>0</vt:i4>
      </vt:variant>
      <vt:variant>
        <vt:i4>5</vt:i4>
      </vt:variant>
      <vt:variant>
        <vt:lpwstr/>
      </vt:variant>
      <vt:variant>
        <vt:lpwstr>_Toc240536470</vt:lpwstr>
      </vt:variant>
      <vt:variant>
        <vt:i4>1441845</vt:i4>
      </vt:variant>
      <vt:variant>
        <vt:i4>182</vt:i4>
      </vt:variant>
      <vt:variant>
        <vt:i4>0</vt:i4>
      </vt:variant>
      <vt:variant>
        <vt:i4>5</vt:i4>
      </vt:variant>
      <vt:variant>
        <vt:lpwstr/>
      </vt:variant>
      <vt:variant>
        <vt:lpwstr>_Toc240536469</vt:lpwstr>
      </vt:variant>
      <vt:variant>
        <vt:i4>1441845</vt:i4>
      </vt:variant>
      <vt:variant>
        <vt:i4>176</vt:i4>
      </vt:variant>
      <vt:variant>
        <vt:i4>0</vt:i4>
      </vt:variant>
      <vt:variant>
        <vt:i4>5</vt:i4>
      </vt:variant>
      <vt:variant>
        <vt:lpwstr/>
      </vt:variant>
      <vt:variant>
        <vt:lpwstr>_Toc240536468</vt:lpwstr>
      </vt:variant>
      <vt:variant>
        <vt:i4>1441845</vt:i4>
      </vt:variant>
      <vt:variant>
        <vt:i4>170</vt:i4>
      </vt:variant>
      <vt:variant>
        <vt:i4>0</vt:i4>
      </vt:variant>
      <vt:variant>
        <vt:i4>5</vt:i4>
      </vt:variant>
      <vt:variant>
        <vt:lpwstr/>
      </vt:variant>
      <vt:variant>
        <vt:lpwstr>_Toc240536467</vt:lpwstr>
      </vt:variant>
      <vt:variant>
        <vt:i4>1441845</vt:i4>
      </vt:variant>
      <vt:variant>
        <vt:i4>164</vt:i4>
      </vt:variant>
      <vt:variant>
        <vt:i4>0</vt:i4>
      </vt:variant>
      <vt:variant>
        <vt:i4>5</vt:i4>
      </vt:variant>
      <vt:variant>
        <vt:lpwstr/>
      </vt:variant>
      <vt:variant>
        <vt:lpwstr>_Toc240536466</vt:lpwstr>
      </vt:variant>
      <vt:variant>
        <vt:i4>1441845</vt:i4>
      </vt:variant>
      <vt:variant>
        <vt:i4>158</vt:i4>
      </vt:variant>
      <vt:variant>
        <vt:i4>0</vt:i4>
      </vt:variant>
      <vt:variant>
        <vt:i4>5</vt:i4>
      </vt:variant>
      <vt:variant>
        <vt:lpwstr/>
      </vt:variant>
      <vt:variant>
        <vt:lpwstr>_Toc240536465</vt:lpwstr>
      </vt:variant>
      <vt:variant>
        <vt:i4>1441845</vt:i4>
      </vt:variant>
      <vt:variant>
        <vt:i4>152</vt:i4>
      </vt:variant>
      <vt:variant>
        <vt:i4>0</vt:i4>
      </vt:variant>
      <vt:variant>
        <vt:i4>5</vt:i4>
      </vt:variant>
      <vt:variant>
        <vt:lpwstr/>
      </vt:variant>
      <vt:variant>
        <vt:lpwstr>_Toc240536464</vt:lpwstr>
      </vt:variant>
      <vt:variant>
        <vt:i4>1441845</vt:i4>
      </vt:variant>
      <vt:variant>
        <vt:i4>146</vt:i4>
      </vt:variant>
      <vt:variant>
        <vt:i4>0</vt:i4>
      </vt:variant>
      <vt:variant>
        <vt:i4>5</vt:i4>
      </vt:variant>
      <vt:variant>
        <vt:lpwstr/>
      </vt:variant>
      <vt:variant>
        <vt:lpwstr>_Toc240536463</vt:lpwstr>
      </vt:variant>
      <vt:variant>
        <vt:i4>1441845</vt:i4>
      </vt:variant>
      <vt:variant>
        <vt:i4>140</vt:i4>
      </vt:variant>
      <vt:variant>
        <vt:i4>0</vt:i4>
      </vt:variant>
      <vt:variant>
        <vt:i4>5</vt:i4>
      </vt:variant>
      <vt:variant>
        <vt:lpwstr/>
      </vt:variant>
      <vt:variant>
        <vt:lpwstr>_Toc240536462</vt:lpwstr>
      </vt:variant>
      <vt:variant>
        <vt:i4>1441845</vt:i4>
      </vt:variant>
      <vt:variant>
        <vt:i4>134</vt:i4>
      </vt:variant>
      <vt:variant>
        <vt:i4>0</vt:i4>
      </vt:variant>
      <vt:variant>
        <vt:i4>5</vt:i4>
      </vt:variant>
      <vt:variant>
        <vt:lpwstr/>
      </vt:variant>
      <vt:variant>
        <vt:lpwstr>_Toc240536461</vt:lpwstr>
      </vt:variant>
      <vt:variant>
        <vt:i4>1441845</vt:i4>
      </vt:variant>
      <vt:variant>
        <vt:i4>128</vt:i4>
      </vt:variant>
      <vt:variant>
        <vt:i4>0</vt:i4>
      </vt:variant>
      <vt:variant>
        <vt:i4>5</vt:i4>
      </vt:variant>
      <vt:variant>
        <vt:lpwstr/>
      </vt:variant>
      <vt:variant>
        <vt:lpwstr>_Toc240536460</vt:lpwstr>
      </vt:variant>
      <vt:variant>
        <vt:i4>1376309</vt:i4>
      </vt:variant>
      <vt:variant>
        <vt:i4>122</vt:i4>
      </vt:variant>
      <vt:variant>
        <vt:i4>0</vt:i4>
      </vt:variant>
      <vt:variant>
        <vt:i4>5</vt:i4>
      </vt:variant>
      <vt:variant>
        <vt:lpwstr/>
      </vt:variant>
      <vt:variant>
        <vt:lpwstr>_Toc240536459</vt:lpwstr>
      </vt:variant>
      <vt:variant>
        <vt:i4>1376309</vt:i4>
      </vt:variant>
      <vt:variant>
        <vt:i4>116</vt:i4>
      </vt:variant>
      <vt:variant>
        <vt:i4>0</vt:i4>
      </vt:variant>
      <vt:variant>
        <vt:i4>5</vt:i4>
      </vt:variant>
      <vt:variant>
        <vt:lpwstr/>
      </vt:variant>
      <vt:variant>
        <vt:lpwstr>_Toc240536458</vt:lpwstr>
      </vt:variant>
      <vt:variant>
        <vt:i4>1376309</vt:i4>
      </vt:variant>
      <vt:variant>
        <vt:i4>110</vt:i4>
      </vt:variant>
      <vt:variant>
        <vt:i4>0</vt:i4>
      </vt:variant>
      <vt:variant>
        <vt:i4>5</vt:i4>
      </vt:variant>
      <vt:variant>
        <vt:lpwstr/>
      </vt:variant>
      <vt:variant>
        <vt:lpwstr>_Toc240536457</vt:lpwstr>
      </vt:variant>
      <vt:variant>
        <vt:i4>1376309</vt:i4>
      </vt:variant>
      <vt:variant>
        <vt:i4>104</vt:i4>
      </vt:variant>
      <vt:variant>
        <vt:i4>0</vt:i4>
      </vt:variant>
      <vt:variant>
        <vt:i4>5</vt:i4>
      </vt:variant>
      <vt:variant>
        <vt:lpwstr/>
      </vt:variant>
      <vt:variant>
        <vt:lpwstr>_Toc240536456</vt:lpwstr>
      </vt:variant>
      <vt:variant>
        <vt:i4>1376309</vt:i4>
      </vt:variant>
      <vt:variant>
        <vt:i4>98</vt:i4>
      </vt:variant>
      <vt:variant>
        <vt:i4>0</vt:i4>
      </vt:variant>
      <vt:variant>
        <vt:i4>5</vt:i4>
      </vt:variant>
      <vt:variant>
        <vt:lpwstr/>
      </vt:variant>
      <vt:variant>
        <vt:lpwstr>_Toc240536455</vt:lpwstr>
      </vt:variant>
      <vt:variant>
        <vt:i4>1376309</vt:i4>
      </vt:variant>
      <vt:variant>
        <vt:i4>92</vt:i4>
      </vt:variant>
      <vt:variant>
        <vt:i4>0</vt:i4>
      </vt:variant>
      <vt:variant>
        <vt:i4>5</vt:i4>
      </vt:variant>
      <vt:variant>
        <vt:lpwstr/>
      </vt:variant>
      <vt:variant>
        <vt:lpwstr>_Toc240536454</vt:lpwstr>
      </vt:variant>
      <vt:variant>
        <vt:i4>1376309</vt:i4>
      </vt:variant>
      <vt:variant>
        <vt:i4>86</vt:i4>
      </vt:variant>
      <vt:variant>
        <vt:i4>0</vt:i4>
      </vt:variant>
      <vt:variant>
        <vt:i4>5</vt:i4>
      </vt:variant>
      <vt:variant>
        <vt:lpwstr/>
      </vt:variant>
      <vt:variant>
        <vt:lpwstr>_Toc240536453</vt:lpwstr>
      </vt:variant>
      <vt:variant>
        <vt:i4>1376309</vt:i4>
      </vt:variant>
      <vt:variant>
        <vt:i4>80</vt:i4>
      </vt:variant>
      <vt:variant>
        <vt:i4>0</vt:i4>
      </vt:variant>
      <vt:variant>
        <vt:i4>5</vt:i4>
      </vt:variant>
      <vt:variant>
        <vt:lpwstr/>
      </vt:variant>
      <vt:variant>
        <vt:lpwstr>_Toc240536452</vt:lpwstr>
      </vt:variant>
      <vt:variant>
        <vt:i4>1376309</vt:i4>
      </vt:variant>
      <vt:variant>
        <vt:i4>74</vt:i4>
      </vt:variant>
      <vt:variant>
        <vt:i4>0</vt:i4>
      </vt:variant>
      <vt:variant>
        <vt:i4>5</vt:i4>
      </vt:variant>
      <vt:variant>
        <vt:lpwstr/>
      </vt:variant>
      <vt:variant>
        <vt:lpwstr>_Toc240536451</vt:lpwstr>
      </vt:variant>
      <vt:variant>
        <vt:i4>1376309</vt:i4>
      </vt:variant>
      <vt:variant>
        <vt:i4>68</vt:i4>
      </vt:variant>
      <vt:variant>
        <vt:i4>0</vt:i4>
      </vt:variant>
      <vt:variant>
        <vt:i4>5</vt:i4>
      </vt:variant>
      <vt:variant>
        <vt:lpwstr/>
      </vt:variant>
      <vt:variant>
        <vt:lpwstr>_Toc240536450</vt:lpwstr>
      </vt:variant>
      <vt:variant>
        <vt:i4>1310773</vt:i4>
      </vt:variant>
      <vt:variant>
        <vt:i4>62</vt:i4>
      </vt:variant>
      <vt:variant>
        <vt:i4>0</vt:i4>
      </vt:variant>
      <vt:variant>
        <vt:i4>5</vt:i4>
      </vt:variant>
      <vt:variant>
        <vt:lpwstr/>
      </vt:variant>
      <vt:variant>
        <vt:lpwstr>_Toc240536449</vt:lpwstr>
      </vt:variant>
      <vt:variant>
        <vt:i4>1310773</vt:i4>
      </vt:variant>
      <vt:variant>
        <vt:i4>56</vt:i4>
      </vt:variant>
      <vt:variant>
        <vt:i4>0</vt:i4>
      </vt:variant>
      <vt:variant>
        <vt:i4>5</vt:i4>
      </vt:variant>
      <vt:variant>
        <vt:lpwstr/>
      </vt:variant>
      <vt:variant>
        <vt:lpwstr>_Toc240536448</vt:lpwstr>
      </vt:variant>
      <vt:variant>
        <vt:i4>1310773</vt:i4>
      </vt:variant>
      <vt:variant>
        <vt:i4>50</vt:i4>
      </vt:variant>
      <vt:variant>
        <vt:i4>0</vt:i4>
      </vt:variant>
      <vt:variant>
        <vt:i4>5</vt:i4>
      </vt:variant>
      <vt:variant>
        <vt:lpwstr/>
      </vt:variant>
      <vt:variant>
        <vt:lpwstr>_Toc240536447</vt:lpwstr>
      </vt:variant>
      <vt:variant>
        <vt:i4>1310773</vt:i4>
      </vt:variant>
      <vt:variant>
        <vt:i4>44</vt:i4>
      </vt:variant>
      <vt:variant>
        <vt:i4>0</vt:i4>
      </vt:variant>
      <vt:variant>
        <vt:i4>5</vt:i4>
      </vt:variant>
      <vt:variant>
        <vt:lpwstr/>
      </vt:variant>
      <vt:variant>
        <vt:lpwstr>_Toc240536446</vt:lpwstr>
      </vt:variant>
      <vt:variant>
        <vt:i4>1310773</vt:i4>
      </vt:variant>
      <vt:variant>
        <vt:i4>38</vt:i4>
      </vt:variant>
      <vt:variant>
        <vt:i4>0</vt:i4>
      </vt:variant>
      <vt:variant>
        <vt:i4>5</vt:i4>
      </vt:variant>
      <vt:variant>
        <vt:lpwstr/>
      </vt:variant>
      <vt:variant>
        <vt:lpwstr>_Toc240536445</vt:lpwstr>
      </vt:variant>
      <vt:variant>
        <vt:i4>1310773</vt:i4>
      </vt:variant>
      <vt:variant>
        <vt:i4>32</vt:i4>
      </vt:variant>
      <vt:variant>
        <vt:i4>0</vt:i4>
      </vt:variant>
      <vt:variant>
        <vt:i4>5</vt:i4>
      </vt:variant>
      <vt:variant>
        <vt:lpwstr/>
      </vt:variant>
      <vt:variant>
        <vt:lpwstr>_Toc240536444</vt:lpwstr>
      </vt:variant>
      <vt:variant>
        <vt:i4>1310773</vt:i4>
      </vt:variant>
      <vt:variant>
        <vt:i4>26</vt:i4>
      </vt:variant>
      <vt:variant>
        <vt:i4>0</vt:i4>
      </vt:variant>
      <vt:variant>
        <vt:i4>5</vt:i4>
      </vt:variant>
      <vt:variant>
        <vt:lpwstr/>
      </vt:variant>
      <vt:variant>
        <vt:lpwstr>_Toc240536443</vt:lpwstr>
      </vt:variant>
      <vt:variant>
        <vt:i4>1310773</vt:i4>
      </vt:variant>
      <vt:variant>
        <vt:i4>20</vt:i4>
      </vt:variant>
      <vt:variant>
        <vt:i4>0</vt:i4>
      </vt:variant>
      <vt:variant>
        <vt:i4>5</vt:i4>
      </vt:variant>
      <vt:variant>
        <vt:lpwstr/>
      </vt:variant>
      <vt:variant>
        <vt:lpwstr>_Toc240536442</vt:lpwstr>
      </vt:variant>
      <vt:variant>
        <vt:i4>1310773</vt:i4>
      </vt:variant>
      <vt:variant>
        <vt:i4>14</vt:i4>
      </vt:variant>
      <vt:variant>
        <vt:i4>0</vt:i4>
      </vt:variant>
      <vt:variant>
        <vt:i4>5</vt:i4>
      </vt:variant>
      <vt:variant>
        <vt:lpwstr/>
      </vt:variant>
      <vt:variant>
        <vt:lpwstr>_Toc240536441</vt:lpwstr>
      </vt:variant>
      <vt:variant>
        <vt:i4>1310773</vt:i4>
      </vt:variant>
      <vt:variant>
        <vt:i4>8</vt:i4>
      </vt:variant>
      <vt:variant>
        <vt:i4>0</vt:i4>
      </vt:variant>
      <vt:variant>
        <vt:i4>5</vt:i4>
      </vt:variant>
      <vt:variant>
        <vt:lpwstr/>
      </vt:variant>
      <vt:variant>
        <vt:lpwstr>_Toc240536440</vt:lpwstr>
      </vt:variant>
      <vt:variant>
        <vt:i4>1245237</vt:i4>
      </vt:variant>
      <vt:variant>
        <vt:i4>2</vt:i4>
      </vt:variant>
      <vt:variant>
        <vt:i4>0</vt:i4>
      </vt:variant>
      <vt:variant>
        <vt:i4>5</vt:i4>
      </vt:variant>
      <vt:variant>
        <vt:lpwstr/>
      </vt:variant>
      <vt:variant>
        <vt:lpwstr>_Toc240536439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Policy 2026</dc:title>
  <dc:subject>Governance, principles, processes and procedures for purchasing goods, services and works by Council</dc:subject>
  <dc:creator>Ewan Richmond</dc:creator>
  <cp:keywords>procurement policy, accessibility, local government, value for money, social procurement, sustainability</cp:keywords>
  <cp:lastModifiedBy>Sarah-Jade Chung</cp:lastModifiedBy>
  <cp:revision>2</cp:revision>
  <cp:lastPrinted>2026-04-21T20:00:00Z</cp:lastPrinted>
  <dcterms:created xsi:type="dcterms:W3CDTF">2026-09-17T07:16:00Z</dcterms:created>
  <dcterms:modified xsi:type="dcterms:W3CDTF">2026-09-17T07:16:00Z</dcterms:modified>
  <cp:category>Finance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0x01010043BE126E2E932D42B643207D1234BF11</vt:lpwstr>
  </property>
  <property fmtid="{D5CDD505-2E9C-101B-9397-08002B2CF9AE}" pid="3" name="_ExtendedDescription">
    <vt:lpwstr/>
  </property>
  <property fmtid="{D5CDD505-2E9C-101B-9397-08002B2CF9AE}" pid="4" name="MediaServiceImageTags">
    <vt:lpwstr/>
  </property>
</Properties>
</file>